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86DE2">
      <w:pPr>
        <w:pStyle w:val="34"/>
        <w:spacing w:before="120" w:beforeLines="0" w:after="120" w:afterLines="0" w:line="578" w:lineRule="exact"/>
        <w:ind w:left="0" w:firstLine="0" w:firstLineChars="0"/>
        <w:jc w:val="both"/>
        <w:textAlignment w:val="auto"/>
        <w:rPr>
          <w:rFonts w:hint="eastAsia" w:ascii="方正黑体简体" w:hAnsi="方正黑体简体" w:eastAsia="方正黑体简体" w:cs="方正黑体简体"/>
          <w:kern w:val="0"/>
          <w:sz w:val="32"/>
          <w:szCs w:val="32"/>
          <w:highlight w:val="none"/>
          <w:lang w:val="en-US" w:eastAsia="zh-CN"/>
        </w:rPr>
      </w:pPr>
      <w:r>
        <w:rPr>
          <w:rFonts w:hint="eastAsia" w:ascii="方正黑体简体" w:hAnsi="方正黑体简体" w:eastAsia="方正黑体简体" w:cs="方正黑体简体"/>
          <w:kern w:val="0"/>
          <w:sz w:val="32"/>
          <w:szCs w:val="32"/>
          <w:highlight w:val="none"/>
          <w:lang w:val="en-US" w:eastAsia="zh-CN"/>
        </w:rPr>
        <w:t>附件1</w:t>
      </w:r>
    </w:p>
    <w:p w14:paraId="4DF8F404">
      <w:pPr>
        <w:pStyle w:val="34"/>
        <w:spacing w:before="120" w:beforeLines="0" w:after="120" w:afterLines="0" w:line="578" w:lineRule="exact"/>
        <w:ind w:left="0" w:firstLine="0" w:firstLineChars="0"/>
        <w:textAlignment w:val="auto"/>
        <w:rPr>
          <w:rFonts w:hint="eastAsia" w:ascii="方正小标宋_GBK" w:hAnsi="方正小标宋_GBK" w:eastAsia="方正小标宋_GBK" w:cs="Times New Roman"/>
          <w:kern w:val="0"/>
          <w:sz w:val="40"/>
          <w:szCs w:val="40"/>
          <w:highlight w:val="none"/>
          <w:lang w:val="en-US" w:eastAsia="zh-CN"/>
        </w:rPr>
      </w:pPr>
      <w:r>
        <w:rPr>
          <w:rFonts w:hint="eastAsia" w:ascii="方正小标宋_GBK" w:hAnsi="方正小标宋_GBK" w:eastAsia="方正小标宋_GBK" w:cs="Times New Roman"/>
          <w:kern w:val="0"/>
          <w:sz w:val="40"/>
          <w:szCs w:val="40"/>
          <w:highlight w:val="none"/>
          <w:lang w:val="en-US" w:eastAsia="zh-CN"/>
        </w:rPr>
        <w:t>云南电力中长期交易实施细则</w:t>
      </w:r>
    </w:p>
    <w:p w14:paraId="14DBECD2">
      <w:pPr>
        <w:pStyle w:val="6"/>
        <w:shd w:val="clear"/>
        <w:ind w:left="0" w:firstLine="0" w:firstLineChars="0"/>
        <w:jc w:val="center"/>
        <w:rPr>
          <w:rFonts w:hint="eastAsia" w:ascii="楷体" w:hAnsi="楷体" w:eastAsia="楷体" w:cs="楷体"/>
          <w:highlight w:val="none"/>
          <w:lang w:eastAsia="zh-CN"/>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征求意见稿</w:t>
      </w:r>
      <w:r>
        <w:rPr>
          <w:rFonts w:hint="eastAsia" w:ascii="楷体" w:hAnsi="楷体" w:eastAsia="楷体" w:cs="楷体"/>
          <w:highlight w:val="none"/>
          <w:lang w:eastAsia="zh-CN"/>
        </w:rPr>
        <w:t>）</w:t>
      </w:r>
    </w:p>
    <w:p w14:paraId="39879A69">
      <w:pPr>
        <w:shd w:val="clear"/>
        <w:rPr>
          <w:highlight w:val="none"/>
        </w:rPr>
      </w:pPr>
    </w:p>
    <w:p w14:paraId="56A5D429">
      <w:pPr>
        <w:pStyle w:val="3"/>
        <w:shd w:val="clear"/>
        <w:rPr>
          <w:rFonts w:cs="Times New Roman"/>
          <w:highlight w:val="none"/>
        </w:rPr>
      </w:pPr>
      <w:r>
        <w:rPr>
          <w:rFonts w:hint="eastAsia" w:cs="Times New Roman"/>
          <w:highlight w:val="none"/>
        </w:rPr>
        <w:t>第一章  总则</w:t>
      </w:r>
    </w:p>
    <w:p w14:paraId="0969855C">
      <w:pPr>
        <w:numPr>
          <w:ilvl w:val="0"/>
          <w:numId w:val="4"/>
        </w:numPr>
        <w:shd w:val="clear"/>
        <w:ind w:firstLine="640"/>
        <w:rPr>
          <w:highlight w:val="none"/>
        </w:rPr>
      </w:pPr>
      <w:r>
        <w:rPr>
          <w:rFonts w:hint="eastAsia" w:cs="Times New Roman"/>
          <w:highlight w:val="none"/>
        </w:rPr>
        <w:t>为规范电力中长期交易，依法维护电力</w:t>
      </w:r>
      <w:r>
        <w:rPr>
          <w:rFonts w:hint="eastAsia" w:cs="Times New Roman"/>
          <w:highlight w:val="none"/>
          <w:lang w:eastAsia="zh-CN"/>
        </w:rPr>
        <w:t>经营主体</w:t>
      </w:r>
      <w:r>
        <w:rPr>
          <w:rFonts w:hint="eastAsia" w:cs="Times New Roman"/>
          <w:highlight w:val="none"/>
        </w:rPr>
        <w:t>的合法权益，推进云南电力市场体系建设，根据《中共中央 国务院关于进一步深化电力体制改革的若干意见》（中发〔2015〕9号）及其配套文件、《国家发展改革委 国家能源局关于加快建设全国统一电力市场体系的指导意见》（发改体改〔2022〕118号）、《电力中长期交易基本规则》（发改能源规〔2020〕889号）、《电力现货市场基本规则（试行）》</w:t>
      </w:r>
      <w:r>
        <w:rPr>
          <w:rFonts w:hint="eastAsia" w:cs="Times New Roman"/>
          <w:highlight w:val="none"/>
          <w:lang w:eastAsia="zh-CN"/>
        </w:rPr>
        <w:t>（</w:t>
      </w:r>
      <w:r>
        <w:rPr>
          <w:rFonts w:hint="eastAsia" w:cs="Times New Roman"/>
          <w:highlight w:val="none"/>
        </w:rPr>
        <w:t>发改能源规〔2023〕1217号</w:t>
      </w:r>
      <w:r>
        <w:rPr>
          <w:rFonts w:hint="eastAsia" w:cs="Times New Roman"/>
          <w:highlight w:val="none"/>
          <w:lang w:eastAsia="zh-CN"/>
        </w:rPr>
        <w:t>）、</w:t>
      </w:r>
      <w:r>
        <w:rPr>
          <w:rFonts w:hint="eastAsia" w:cs="Times New Roman"/>
          <w:highlight w:val="none"/>
        </w:rPr>
        <w:t>《电力市场运行基本规则》（</w:t>
      </w:r>
      <w:r>
        <w:rPr>
          <w:rFonts w:hint="eastAsia" w:cs="Times New Roman"/>
          <w:highlight w:val="none"/>
          <w:lang w:val="en-US" w:eastAsia="zh-CN"/>
        </w:rPr>
        <w:t>发展改革委令2024年第20号</w:t>
      </w:r>
      <w:r>
        <w:rPr>
          <w:rFonts w:hint="eastAsia" w:cs="Times New Roman"/>
          <w:highlight w:val="none"/>
        </w:rPr>
        <w:t>）、</w:t>
      </w:r>
      <w:r>
        <w:rPr>
          <w:rFonts w:hint="eastAsia" w:cs="Times New Roman"/>
          <w:highlight w:val="none"/>
          <w:lang w:eastAsia="zh-CN"/>
        </w:rPr>
        <w:t>《</w:t>
      </w:r>
      <w:r>
        <w:rPr>
          <w:rFonts w:hint="eastAsia" w:cs="Times New Roman"/>
          <w:highlight w:val="none"/>
        </w:rPr>
        <w:t>电力中长期交易基本规则—绿色电力交易专章</w:t>
      </w:r>
      <w:r>
        <w:rPr>
          <w:rFonts w:hint="eastAsia" w:cs="Times New Roman"/>
          <w:highlight w:val="none"/>
          <w:lang w:eastAsia="zh-CN"/>
        </w:rPr>
        <w:t>》</w:t>
      </w:r>
      <w:r>
        <w:rPr>
          <w:rFonts w:hint="eastAsia" w:cs="Times New Roman"/>
          <w:highlight w:val="none"/>
        </w:rPr>
        <w:t>（发改能源〔202</w:t>
      </w:r>
      <w:r>
        <w:rPr>
          <w:rFonts w:hint="eastAsia" w:cs="Times New Roman"/>
          <w:highlight w:val="none"/>
          <w:lang w:val="en-US" w:eastAsia="zh-CN"/>
        </w:rPr>
        <w:t>4</w:t>
      </w:r>
      <w:r>
        <w:rPr>
          <w:rFonts w:hint="eastAsia" w:cs="Times New Roman"/>
          <w:highlight w:val="none"/>
        </w:rPr>
        <w:t>〕1</w:t>
      </w:r>
      <w:r>
        <w:rPr>
          <w:rFonts w:hint="eastAsia" w:cs="Times New Roman"/>
          <w:highlight w:val="none"/>
          <w:lang w:val="en-US" w:eastAsia="zh-CN"/>
        </w:rPr>
        <w:t>1</w:t>
      </w:r>
      <w:r>
        <w:rPr>
          <w:rFonts w:hint="eastAsia" w:cs="Times New Roman"/>
          <w:highlight w:val="none"/>
        </w:rPr>
        <w:t>2</w:t>
      </w:r>
      <w:r>
        <w:rPr>
          <w:rFonts w:hint="eastAsia" w:cs="Times New Roman"/>
          <w:highlight w:val="none"/>
          <w:lang w:val="en-US" w:eastAsia="zh-CN"/>
        </w:rPr>
        <w:t>3</w:t>
      </w:r>
      <w:r>
        <w:rPr>
          <w:rFonts w:hint="eastAsia" w:cs="Times New Roman"/>
          <w:highlight w:val="none"/>
        </w:rPr>
        <w:t>号）</w:t>
      </w:r>
      <w:r>
        <w:rPr>
          <w:rFonts w:hint="eastAsia" w:cs="Times New Roman"/>
          <w:highlight w:val="none"/>
          <w:lang w:eastAsia="zh-CN"/>
        </w:rPr>
        <w:t>、</w:t>
      </w:r>
      <w:r>
        <w:rPr>
          <w:rStyle w:val="15"/>
          <w:rFonts w:hint="eastAsia" w:ascii="Times New Roman" w:hAnsi="Times New Roman" w:eastAsia="仿宋" w:cs="Times New Roman"/>
          <w:i w:val="0"/>
          <w:iCs w:val="0"/>
          <w:caps w:val="0"/>
          <w:color w:val="auto"/>
          <w:spacing w:val="0"/>
          <w:sz w:val="32"/>
          <w:szCs w:val="24"/>
          <w:highlight w:val="none"/>
          <w:shd w:val="clear"/>
        </w:rPr>
        <w:t>《电力市场信息披露基本规则》</w:t>
      </w:r>
      <w:r>
        <w:rPr>
          <w:rFonts w:hint="eastAsia" w:cs="Times New Roman"/>
          <w:i w:val="0"/>
          <w:iCs w:val="0"/>
          <w:caps w:val="0"/>
          <w:spacing w:val="0"/>
          <w:sz w:val="32"/>
          <w:szCs w:val="24"/>
          <w:highlight w:val="none"/>
          <w:shd w:val="clear"/>
          <w:lang w:eastAsia="zh-CN"/>
        </w:rPr>
        <w:t>（</w:t>
      </w:r>
      <w:r>
        <w:rPr>
          <w:rFonts w:hint="eastAsia" w:ascii="Times New Roman" w:hAnsi="Times New Roman" w:eastAsia="仿宋" w:cs="Times New Roman"/>
          <w:i w:val="0"/>
          <w:iCs w:val="0"/>
          <w:caps w:val="0"/>
          <w:color w:val="auto"/>
          <w:spacing w:val="0"/>
          <w:sz w:val="32"/>
          <w:szCs w:val="24"/>
          <w:highlight w:val="none"/>
          <w:shd w:val="clear" w:fill="auto"/>
        </w:rPr>
        <w:t>国能发监管〔2024〕9号</w:t>
      </w:r>
      <w:r>
        <w:rPr>
          <w:rFonts w:hint="eastAsia" w:cs="Times New Roman"/>
          <w:i w:val="0"/>
          <w:iCs w:val="0"/>
          <w:caps w:val="0"/>
          <w:spacing w:val="0"/>
          <w:sz w:val="32"/>
          <w:szCs w:val="24"/>
          <w:highlight w:val="none"/>
          <w:shd w:val="clear"/>
          <w:lang w:eastAsia="zh-CN"/>
        </w:rPr>
        <w:t>）、</w:t>
      </w:r>
      <w:r>
        <w:rPr>
          <w:rStyle w:val="15"/>
          <w:rFonts w:hint="eastAsia" w:ascii="Times New Roman" w:hAnsi="Times New Roman" w:eastAsia="仿宋" w:cs="Times New Roman"/>
          <w:i w:val="0"/>
          <w:iCs w:val="0"/>
          <w:caps w:val="0"/>
          <w:color w:val="auto"/>
          <w:spacing w:val="0"/>
          <w:sz w:val="32"/>
          <w:szCs w:val="24"/>
          <w:highlight w:val="none"/>
          <w:shd w:val="clear" w:fill="auto"/>
        </w:rPr>
        <w:t>《电力市场注册基本规则》</w:t>
      </w:r>
      <w:r>
        <w:rPr>
          <w:rStyle w:val="15"/>
          <w:rFonts w:hint="eastAsia" w:ascii="Times New Roman" w:hAnsi="Times New Roman" w:eastAsia="仿宋" w:cs="Times New Roman"/>
          <w:i w:val="0"/>
          <w:iCs w:val="0"/>
          <w:caps w:val="0"/>
          <w:color w:val="auto"/>
          <w:spacing w:val="0"/>
          <w:sz w:val="32"/>
          <w:szCs w:val="24"/>
          <w:highlight w:val="none"/>
          <w:shd w:val="clear" w:fill="auto"/>
          <w:lang w:eastAsia="zh-CN"/>
        </w:rPr>
        <w:t>（</w:t>
      </w:r>
      <w:r>
        <w:rPr>
          <w:rFonts w:hint="eastAsia" w:ascii="Times New Roman" w:hAnsi="Times New Roman" w:eastAsia="仿宋" w:cs="Times New Roman"/>
          <w:i w:val="0"/>
          <w:iCs w:val="0"/>
          <w:caps w:val="0"/>
          <w:color w:val="auto"/>
          <w:spacing w:val="0"/>
          <w:sz w:val="32"/>
          <w:szCs w:val="24"/>
          <w:highlight w:val="none"/>
          <w:shd w:val="clear" w:fill="auto"/>
        </w:rPr>
        <w:t>国能发监管规〔2024〕76号</w:t>
      </w:r>
      <w:r>
        <w:rPr>
          <w:rStyle w:val="15"/>
          <w:rFonts w:hint="eastAsia" w:ascii="Times New Roman" w:hAnsi="Times New Roman" w:eastAsia="仿宋" w:cs="Times New Roman"/>
          <w:i w:val="0"/>
          <w:iCs w:val="0"/>
          <w:caps w:val="0"/>
          <w:color w:val="auto"/>
          <w:spacing w:val="0"/>
          <w:sz w:val="32"/>
          <w:szCs w:val="24"/>
          <w:highlight w:val="none"/>
          <w:shd w:val="clear" w:fill="auto"/>
          <w:lang w:eastAsia="zh-CN"/>
        </w:rPr>
        <w:t>）</w:t>
      </w:r>
      <w:r>
        <w:rPr>
          <w:rFonts w:hint="eastAsia" w:ascii="Times New Roman" w:hAnsi="Times New Roman" w:eastAsia="仿宋" w:cs="Times New Roman"/>
          <w:sz w:val="32"/>
          <w:szCs w:val="24"/>
          <w:highlight w:val="none"/>
        </w:rPr>
        <w:t>和有关</w:t>
      </w:r>
      <w:r>
        <w:rPr>
          <w:rFonts w:hint="eastAsia" w:cs="Times New Roman"/>
          <w:sz w:val="32"/>
          <w:szCs w:val="24"/>
          <w:highlight w:val="none"/>
          <w:lang w:eastAsia="zh-CN"/>
        </w:rPr>
        <w:t>法律法规</w:t>
      </w:r>
      <w:r>
        <w:rPr>
          <w:rFonts w:hint="eastAsia" w:ascii="Times New Roman" w:hAnsi="Times New Roman" w:eastAsia="仿宋" w:cs="Times New Roman"/>
          <w:sz w:val="32"/>
          <w:szCs w:val="24"/>
          <w:highlight w:val="none"/>
        </w:rPr>
        <w:t>、规定</w:t>
      </w:r>
      <w:r>
        <w:rPr>
          <w:rFonts w:hint="eastAsia" w:cs="Times New Roman"/>
          <w:highlight w:val="none"/>
        </w:rPr>
        <w:t>，结合云南电力市场建设经验和电力系统运行实际，制定本实施细则。</w:t>
      </w:r>
    </w:p>
    <w:p w14:paraId="3A109F6D">
      <w:pPr>
        <w:numPr>
          <w:ilvl w:val="0"/>
          <w:numId w:val="4"/>
        </w:numPr>
        <w:shd w:val="clear"/>
        <w:ind w:firstLine="640"/>
        <w:rPr>
          <w:rFonts w:cs="Times New Roman"/>
          <w:highlight w:val="none"/>
        </w:rPr>
      </w:pPr>
      <w:r>
        <w:rPr>
          <w:rFonts w:hint="eastAsia" w:ascii="Times New Roman" w:hAnsi="Times New Roman" w:eastAsia="仿宋" w:cs="华文仿宋"/>
          <w:color w:val="000000" w:themeColor="text1"/>
          <w:sz w:val="32"/>
          <w:szCs w:val="32"/>
          <w:highlight w:val="none"/>
          <w:lang w:val="zh-CN"/>
          <w14:textFill>
            <w14:solidFill>
              <w14:schemeClr w14:val="tx1"/>
            </w14:solidFill>
          </w14:textFill>
        </w:rPr>
        <w:t>云南电力中长期交易遵循以下原则：</w:t>
      </w:r>
    </w:p>
    <w:p w14:paraId="20AAACEC">
      <w:pPr>
        <w:shd w:val="clear"/>
        <w:spacing w:line="560" w:lineRule="exact"/>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一</w:t>
      </w:r>
      <w:r>
        <w:rPr>
          <w:rFonts w:hint="eastAsia"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14:textFill>
            <w14:solidFill>
              <w14:schemeClr w14:val="tx1"/>
            </w14:solidFill>
          </w14:textFill>
        </w:rPr>
        <w:t>安全可靠。组织开展云南电力中长期交易应满足电力供应安全有序和电力系统安全稳定的要求。</w:t>
      </w:r>
    </w:p>
    <w:p w14:paraId="27121F83">
      <w:pPr>
        <w:shd w:val="clear"/>
        <w:spacing w:line="560" w:lineRule="exact"/>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二</w:t>
      </w:r>
      <w:r>
        <w:rPr>
          <w:rFonts w:hint="eastAsia"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14:textFill>
            <w14:solidFill>
              <w14:schemeClr w14:val="tx1"/>
            </w14:solidFill>
          </w14:textFill>
        </w:rPr>
        <w:t>竞争有序。云南电力中长期交易面向</w:t>
      </w:r>
      <w:r>
        <w:rPr>
          <w:rFonts w:hint="eastAsia" w:cs="Times New Roman"/>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Times New Roman"/>
          <w:color w:val="000000" w:themeColor="text1"/>
          <w:sz w:val="32"/>
          <w:szCs w:val="32"/>
          <w:highlight w:val="none"/>
          <w14:textFill>
            <w14:solidFill>
              <w14:schemeClr w14:val="tx1"/>
            </w14:solidFill>
          </w14:textFill>
        </w:rPr>
        <w:t>公平开放，充分发挥市场在电力资源优化配置中的决定性作用</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，坚持更好发挥政府作用，保障有效竞争和市场秩序</w:t>
      </w:r>
      <w:r>
        <w:rPr>
          <w:rFonts w:hint="eastAsia" w:ascii="Times New Roman" w:hAnsi="Times New Roman" w:eastAsia="仿宋" w:cs="Times New Roman"/>
          <w:color w:val="000000" w:themeColor="text1"/>
          <w:sz w:val="32"/>
          <w:szCs w:val="32"/>
          <w:highlight w:val="none"/>
          <w14:textFill>
            <w14:solidFill>
              <w14:schemeClr w14:val="tx1"/>
            </w14:solidFill>
          </w14:textFill>
        </w:rPr>
        <w:t>。</w:t>
      </w:r>
    </w:p>
    <w:p w14:paraId="3907D76F">
      <w:pPr>
        <w:shd w:val="clear"/>
        <w:spacing w:line="560" w:lineRule="exact"/>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cs="Times New Roman"/>
          <w:color w:val="000000" w:themeColor="text1"/>
          <w:sz w:val="32"/>
          <w:szCs w:val="32"/>
          <w:highlight w:val="none"/>
          <w:lang w:val="en-US" w:eastAsia="zh-CN"/>
          <w14:textFill>
            <w14:solidFill>
              <w14:schemeClr w14:val="tx1"/>
            </w14:solidFill>
          </w14:textFill>
        </w:rPr>
        <w:t>（三）绿色低碳</w:t>
      </w:r>
      <w:r>
        <w:rPr>
          <w:rFonts w:hint="eastAsia" w:ascii="Times New Roman" w:hAnsi="Times New Roman" w:eastAsia="仿宋" w:cs="Times New Roman"/>
          <w:color w:val="000000" w:themeColor="text1"/>
          <w:sz w:val="32"/>
          <w:szCs w:val="32"/>
          <w:highlight w:val="none"/>
          <w14:textFill>
            <w14:solidFill>
              <w14:schemeClr w14:val="tx1"/>
            </w14:solidFill>
          </w14:textFill>
        </w:rPr>
        <w:t>。云南电力中长期交易应服务国家“双碳”目标，落实西电东送战略，服务云南省经济社会低碳绿色发展，促进清洁能源发展与消纳，实现电力系统经济运行、电力资源优化配置</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，服务碳达峰、碳中和目标实现和新型电力系统建设</w:t>
      </w:r>
      <w:r>
        <w:rPr>
          <w:rFonts w:hint="eastAsia" w:ascii="Times New Roman" w:hAnsi="Times New Roman" w:eastAsia="仿宋" w:cs="Times New Roman"/>
          <w:color w:val="000000" w:themeColor="text1"/>
          <w:sz w:val="32"/>
          <w:szCs w:val="32"/>
          <w:highlight w:val="none"/>
          <w14:textFill>
            <w14:solidFill>
              <w14:schemeClr w14:val="tx1"/>
            </w14:solidFill>
          </w14:textFill>
        </w:rPr>
        <w:t>。</w:t>
      </w:r>
    </w:p>
    <w:p w14:paraId="30D0E6DE">
      <w:pPr>
        <w:shd w:val="clear"/>
        <w:spacing w:line="560" w:lineRule="exact"/>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四</w:t>
      </w:r>
      <w:r>
        <w:rPr>
          <w:rFonts w:hint="eastAsia"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14:textFill>
            <w14:solidFill>
              <w14:schemeClr w14:val="tx1"/>
            </w14:solidFill>
          </w14:textFill>
        </w:rPr>
        <w:t>协同高效。云南电力中长期市场与南方区域中长期电能量交易跨省市场有序衔接，</w:t>
      </w:r>
      <w:r>
        <w:rPr>
          <w:rFonts w:hint="eastAsia" w:cs="Times New Roman"/>
          <w:color w:val="000000" w:themeColor="text1"/>
          <w:sz w:val="32"/>
          <w:szCs w:val="32"/>
          <w:highlight w:val="none"/>
          <w:lang w:val="en-US" w:eastAsia="zh-CN"/>
          <w14:textFill>
            <w14:solidFill>
              <w14:schemeClr w14:val="tx1"/>
            </w14:solidFill>
          </w14:textFill>
        </w:rPr>
        <w:t>云南</w:t>
      </w:r>
      <w:r>
        <w:rPr>
          <w:rFonts w:hint="eastAsia" w:ascii="Times New Roman" w:hAnsi="Times New Roman" w:eastAsia="仿宋" w:cs="Times New Roman"/>
          <w:color w:val="000000" w:themeColor="text1"/>
          <w:sz w:val="32"/>
          <w:szCs w:val="32"/>
          <w:highlight w:val="none"/>
          <w14:textFill>
            <w14:solidFill>
              <w14:schemeClr w14:val="tx1"/>
            </w14:solidFill>
          </w14:textFill>
        </w:rPr>
        <w:t>电力中长期市场与现货市场、辅助服务市场等有序衔接。</w:t>
      </w:r>
    </w:p>
    <w:p w14:paraId="7226D985">
      <w:pPr>
        <w:numPr>
          <w:ilvl w:val="-1"/>
          <w:numId w:val="0"/>
        </w:numPr>
        <w:shd w:val="clear"/>
        <w:spacing w:line="560" w:lineRule="exact"/>
        <w:ind w:firstLine="640"/>
        <w:rPr>
          <w:rFonts w:hint="eastAsia" w:cs="Times New Roman"/>
          <w:color w:val="000000" w:themeColor="text1"/>
          <w:szCs w:val="32"/>
          <w:highlight w:val="none"/>
          <w14:textFill>
            <w14:solidFill>
              <w14:schemeClr w14:val="tx1"/>
            </w14:solidFill>
          </w14:textFill>
        </w:rPr>
      </w:pPr>
      <w:r>
        <w:rPr>
          <w:rFonts w:hint="eastAsia" w:cs="Times New Roman"/>
          <w:color w:val="000000" w:themeColor="text1"/>
          <w:sz w:val="32"/>
          <w:szCs w:val="32"/>
          <w:highlight w:val="none"/>
          <w:lang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五</w:t>
      </w:r>
      <w:r>
        <w:rPr>
          <w:rFonts w:hint="eastAsia"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14:textFill>
            <w14:solidFill>
              <w14:schemeClr w14:val="tx1"/>
            </w14:solidFill>
          </w14:textFill>
        </w:rPr>
        <w:t>开放合作</w:t>
      </w:r>
      <w:r>
        <w:rPr>
          <w:rFonts w:hint="eastAsia" w:ascii="Times New Roman" w:hAnsi="Times New Roman" w:eastAsia="仿宋" w:cs="Times New Roman"/>
          <w:color w:val="000000" w:themeColor="text1"/>
          <w:kern w:val="2"/>
          <w:sz w:val="32"/>
          <w:szCs w:val="32"/>
          <w:highlight w:val="none"/>
          <w:lang w:val="zh-CN"/>
          <w14:textFill>
            <w14:solidFill>
              <w14:schemeClr w14:val="tx1"/>
            </w14:solidFill>
          </w14:textFill>
        </w:rPr>
        <w:t>。加强与南亚东南亚电力市场的有序衔接，加强与周边国家电力市场的国际合作。</w:t>
      </w:r>
    </w:p>
    <w:p w14:paraId="04D00E46">
      <w:pPr>
        <w:numPr>
          <w:ilvl w:val="0"/>
          <w:numId w:val="4"/>
        </w:numPr>
        <w:shd w:val="clear"/>
        <w:ind w:firstLine="640"/>
        <w:rPr>
          <w:rFonts w:cs="Times New Roman"/>
          <w:spacing w:val="-4"/>
          <w:highlight w:val="none"/>
        </w:rPr>
      </w:pPr>
      <w:r>
        <w:rPr>
          <w:rFonts w:hint="eastAsia" w:ascii="Times New Roman" w:hAnsi="Times New Roman" w:eastAsia="仿宋" w:cs="华文仿宋"/>
          <w:color w:val="000000" w:themeColor="text1"/>
          <w:sz w:val="32"/>
          <w:szCs w:val="32"/>
          <w:highlight w:val="none"/>
          <w14:textFill>
            <w14:solidFill>
              <w14:schemeClr w14:val="tx1"/>
            </w14:solidFill>
          </w14:textFill>
        </w:rPr>
        <w:t>市场成员应尊重市场，</w:t>
      </w:r>
      <w:r>
        <w:rPr>
          <w:rFonts w:hint="eastAsia" w:cs="华文仿宋"/>
          <w:color w:val="000000" w:themeColor="text1"/>
          <w:szCs w:val="32"/>
          <w:highlight w:val="none"/>
          <w14:textFill>
            <w14:solidFill>
              <w14:schemeClr w14:val="tx1"/>
            </w14:solidFill>
          </w14:textFill>
        </w:rPr>
        <w:t>严格遵守本细则</w:t>
      </w:r>
      <w:r>
        <w:rPr>
          <w:rFonts w:hint="eastAsia" w:ascii="Times New Roman" w:hAnsi="Times New Roman" w:eastAsia="仿宋" w:cs="华文仿宋"/>
          <w:color w:val="000000" w:themeColor="text1"/>
          <w:sz w:val="32"/>
          <w:szCs w:val="32"/>
          <w:highlight w:val="none"/>
          <w14:textFill>
            <w14:solidFill>
              <w14:schemeClr w14:val="tx1"/>
            </w14:solidFill>
          </w14:textFill>
        </w:rPr>
        <w:t>，自觉自律，不得操纵市场价格、损害其他</w:t>
      </w: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的合法权益，未严格执行相关规则和规定导致的损失由</w:t>
      </w: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自行承担。任何单位和个人不得非法干预市场正常运行</w:t>
      </w:r>
      <w:r>
        <w:rPr>
          <w:rFonts w:hint="eastAsia" w:cs="Times New Roman"/>
          <w:spacing w:val="-4"/>
          <w:highlight w:val="none"/>
        </w:rPr>
        <w:t>。</w:t>
      </w:r>
    </w:p>
    <w:p w14:paraId="0D2BA5B0">
      <w:pPr>
        <w:numPr>
          <w:ilvl w:val="0"/>
          <w:numId w:val="4"/>
        </w:numPr>
        <w:shd w:val="clear"/>
        <w:ind w:firstLine="640"/>
        <w:rPr>
          <w:highlight w:val="none"/>
        </w:rPr>
      </w:pPr>
      <w:r>
        <w:rPr>
          <w:rFonts w:hint="eastAsia" w:cs="Times New Roman"/>
          <w:highlight w:val="none"/>
        </w:rPr>
        <w:t>执行政府定价的优先发电电量和</w:t>
      </w:r>
      <w:commentRangeStart w:id="0"/>
      <w:r>
        <w:rPr>
          <w:rFonts w:hint="eastAsia" w:cs="Times New Roman"/>
          <w:highlight w:val="none"/>
        </w:rPr>
        <w:t>基数电量</w:t>
      </w:r>
      <w:commentRangeEnd w:id="0"/>
      <w:r>
        <w:rPr>
          <w:highlight w:val="none"/>
        </w:rPr>
        <w:commentReference w:id="0"/>
      </w:r>
      <w:r>
        <w:rPr>
          <w:rFonts w:hint="eastAsia" w:cs="Times New Roman"/>
          <w:highlight w:val="none"/>
        </w:rPr>
        <w:t>（二者统称为计划电量）视为厂网间双边交易电量，签订厂网间购售电合同，相应合同纳入电力中长期交易合同管理范畴，其执行和结算均须遵守本实施细则。</w:t>
      </w:r>
    </w:p>
    <w:p w14:paraId="12E92713">
      <w:pPr>
        <w:numPr>
          <w:ilvl w:val="0"/>
          <w:numId w:val="4"/>
        </w:numPr>
        <w:shd w:val="clear"/>
        <w:ind w:firstLine="640"/>
        <w:rPr>
          <w:highlight w:val="none"/>
        </w:rPr>
      </w:pPr>
      <w:r>
        <w:rPr>
          <w:rFonts w:hint="eastAsia" w:ascii="Times New Roman" w:hAnsi="Times New Roman" w:eastAsia="仿宋" w:cs="华文仿宋"/>
          <w:color w:val="000000" w:themeColor="text1"/>
          <w:sz w:val="32"/>
          <w:szCs w:val="32"/>
          <w:highlight w:val="none"/>
          <w14:textFill>
            <w14:solidFill>
              <w14:schemeClr w14:val="tx1"/>
            </w14:solidFill>
          </w14:textFill>
        </w:rPr>
        <w:t>本细则所称中长期交易是指</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具备批发交易资格的</w:t>
      </w: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，通过双边协商、集中交易等市场化方式</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开展的以</w:t>
      </w:r>
      <w:r>
        <w:rPr>
          <w:rFonts w:hint="eastAsia" w:ascii="Times New Roman" w:hAnsi="Times New Roman" w:eastAsia="仿宋" w:cs="华文仿宋"/>
          <w:color w:val="000000" w:themeColor="text1"/>
          <w:sz w:val="32"/>
          <w:szCs w:val="32"/>
          <w:highlight w:val="none"/>
          <w14:textFill>
            <w14:solidFill>
              <w14:schemeClr w14:val="tx1"/>
            </w14:solidFill>
          </w14:textFill>
        </w:rPr>
        <w:t>年度（多年）、月度（多月）、周（多周）、日（多日）等</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为时间周期的</w:t>
      </w:r>
      <w:r>
        <w:rPr>
          <w:rFonts w:hint="eastAsia" w:ascii="Times New Roman" w:hAnsi="Times New Roman" w:eastAsia="仿宋" w:cs="华文仿宋"/>
          <w:color w:val="000000" w:themeColor="text1"/>
          <w:sz w:val="32"/>
          <w:szCs w:val="32"/>
          <w:highlight w:val="none"/>
          <w14:textFill>
            <w14:solidFill>
              <w14:schemeClr w14:val="tx1"/>
            </w14:solidFill>
          </w14:textFill>
        </w:rPr>
        <w:t>电能量批发交易</w:t>
      </w:r>
      <w:r>
        <w:rPr>
          <w:rFonts w:hint="eastAsia" w:cs="Times New Roman"/>
          <w:highlight w:val="none"/>
        </w:rPr>
        <w:t>。</w:t>
      </w:r>
    </w:p>
    <w:p w14:paraId="414CC04F">
      <w:pPr>
        <w:numPr>
          <w:ilvl w:val="0"/>
          <w:numId w:val="4"/>
        </w:numPr>
        <w:shd w:val="clear"/>
        <w:spacing w:line="560" w:lineRule="exact"/>
        <w:ind w:left="0" w:firstLine="64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本</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细则</w:t>
      </w:r>
      <w:r>
        <w:rPr>
          <w:rFonts w:hint="eastAsia" w:ascii="Times New Roman" w:hAnsi="Times New Roman" w:eastAsia="仿宋" w:cs="华文仿宋"/>
          <w:color w:val="000000" w:themeColor="text1"/>
          <w:sz w:val="32"/>
          <w:szCs w:val="32"/>
          <w:highlight w:val="none"/>
          <w14:textFill>
            <w14:solidFill>
              <w14:schemeClr w14:val="tx1"/>
            </w14:solidFill>
          </w14:textFill>
        </w:rPr>
        <w:t>所称年、月、日均为自然年、自然月、自然日</w:t>
      </w:r>
      <w:r>
        <w:rPr>
          <w:rFonts w:hint="eastAsia" w:cs="华文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 w:cs="华文仿宋"/>
          <w:color w:val="000000" w:themeColor="text1"/>
          <w:sz w:val="32"/>
          <w:szCs w:val="32"/>
          <w:highlight w:val="none"/>
          <w14:textFill>
            <w14:solidFill>
              <w14:schemeClr w14:val="tx1"/>
            </w14:solidFill>
          </w14:textFill>
        </w:rPr>
        <w:t>所称枯水期指每年1—4月、12月，平水期指每年5月、11月，汛期指每年6—10月，</w:t>
      </w:r>
      <w:r>
        <w:rPr>
          <w:rFonts w:hint="eastAsia"/>
          <w:highlight w:val="none"/>
        </w:rPr>
        <w:t>省级相关</w:t>
      </w:r>
      <w:r>
        <w:rPr>
          <w:rFonts w:hint="eastAsia" w:cs="华文仿宋"/>
          <w:color w:val="000000" w:themeColor="text1"/>
          <w:sz w:val="32"/>
          <w:szCs w:val="32"/>
          <w:highlight w:val="none"/>
          <w:lang w:val="en-US" w:eastAsia="zh-CN"/>
          <w14:textFill>
            <w14:solidFill>
              <w14:schemeClr w14:val="tx1"/>
            </w14:solidFill>
          </w14:textFill>
        </w:rPr>
        <w:t>政府主管部门对枯平汛期时间有调整的，按最新要求执行</w:t>
      </w:r>
      <w:r>
        <w:rPr>
          <w:rFonts w:hint="eastAsia" w:ascii="Times New Roman" w:hAnsi="Times New Roman" w:eastAsia="仿宋" w:cs="华文仿宋"/>
          <w:color w:val="000000" w:themeColor="text1"/>
          <w:sz w:val="32"/>
          <w:szCs w:val="32"/>
          <w:highlight w:val="none"/>
          <w14:textFill>
            <w14:solidFill>
              <w14:schemeClr w14:val="tx1"/>
            </w14:solidFill>
          </w14:textFill>
        </w:rPr>
        <w:t>。</w:t>
      </w:r>
    </w:p>
    <w:p w14:paraId="1494B011">
      <w:pPr>
        <w:numPr>
          <w:ilvl w:val="0"/>
          <w:numId w:val="4"/>
        </w:numPr>
        <w:shd w:val="clear"/>
        <w:ind w:firstLine="640"/>
        <w:rPr>
          <w:rFonts w:cs="仿宋_GB2312"/>
          <w:szCs w:val="32"/>
          <w:highlight w:val="none"/>
        </w:rPr>
      </w:pPr>
      <w:r>
        <w:rPr>
          <w:rFonts w:hint="eastAsia" w:cs="Times New Roman"/>
          <w:highlight w:val="none"/>
        </w:rPr>
        <w:t>国家能源局云南监管办公室（以下简称“云南能源监管办”）和云南省能源局根据职能依法履行云南电力中长期交易监管职责。</w:t>
      </w:r>
    </w:p>
    <w:p w14:paraId="1430943F">
      <w:pPr>
        <w:pStyle w:val="3"/>
        <w:shd w:val="clear"/>
        <w:rPr>
          <w:rFonts w:cs="Times New Roman"/>
          <w:highlight w:val="none"/>
        </w:rPr>
      </w:pPr>
      <w:r>
        <w:rPr>
          <w:rFonts w:hint="eastAsia" w:cs="Times New Roman"/>
          <w:highlight w:val="none"/>
        </w:rPr>
        <w:t>第二章  市场成员</w:t>
      </w:r>
    </w:p>
    <w:p w14:paraId="2C82DDEC">
      <w:pPr>
        <w:numPr>
          <w:ilvl w:val="0"/>
          <w:numId w:val="4"/>
        </w:numPr>
        <w:shd w:val="clear"/>
        <w:ind w:firstLine="640"/>
        <w:rPr>
          <w:highlight w:val="none"/>
        </w:rPr>
      </w:pPr>
      <w:r>
        <w:rPr>
          <w:rFonts w:hint="eastAsia" w:cs="Times New Roman"/>
          <w:highlight w:val="none"/>
        </w:rPr>
        <w:t>本</w:t>
      </w:r>
      <w:r>
        <w:rPr>
          <w:rFonts w:hint="eastAsia" w:cs="Times New Roman"/>
          <w:highlight w:val="none"/>
          <w:lang w:val="en-US" w:eastAsia="zh-CN"/>
        </w:rPr>
        <w:t>细则</w:t>
      </w:r>
      <w:r>
        <w:rPr>
          <w:rFonts w:hint="eastAsia" w:cs="Times New Roman"/>
          <w:highlight w:val="none"/>
        </w:rPr>
        <w:t>所称的电力市场成员包括经营主体、电力市场运营机构和提供输配电服务的电网企业等。其中，经营主体包括参与电力市场交易的发电企业、售电</w:t>
      </w:r>
      <w:r>
        <w:rPr>
          <w:rFonts w:hint="eastAsia" w:cs="Times New Roman"/>
          <w:highlight w:val="none"/>
          <w:lang w:eastAsia="zh-CN"/>
        </w:rPr>
        <w:t>公司</w:t>
      </w:r>
      <w:r>
        <w:rPr>
          <w:rFonts w:hint="eastAsia" w:cs="Times New Roman"/>
          <w:highlight w:val="none"/>
        </w:rPr>
        <w:t>、电力用户和新型经营主体（含</w:t>
      </w:r>
      <w:r>
        <w:rPr>
          <w:rFonts w:hint="eastAsia" w:cs="Times New Roman"/>
          <w:highlight w:val="none"/>
          <w:lang w:eastAsia="zh-CN"/>
        </w:rPr>
        <w:t>新型</w:t>
      </w:r>
      <w:r>
        <w:rPr>
          <w:rFonts w:hint="eastAsia" w:cs="Times New Roman"/>
          <w:highlight w:val="none"/>
        </w:rPr>
        <w:t>储能企业、虚拟电厂、</w:t>
      </w:r>
      <w:r>
        <w:rPr>
          <w:rFonts w:hint="eastAsia" w:cs="Times New Roman"/>
          <w:highlight w:val="none"/>
          <w:lang w:eastAsia="zh-CN"/>
        </w:rPr>
        <w:t>智能微电网</w:t>
      </w:r>
      <w:r>
        <w:rPr>
          <w:rFonts w:hint="eastAsia" w:cs="Times New Roman"/>
          <w:highlight w:val="none"/>
        </w:rPr>
        <w:t>等）；电力市场运营机构包括电力交易机构、电力调度机构。</w:t>
      </w:r>
      <w:r>
        <w:rPr>
          <w:rFonts w:hint="eastAsia" w:cs="Times New Roman"/>
          <w:highlight w:val="none"/>
          <w:lang w:val="en-US" w:eastAsia="zh-CN"/>
        </w:rPr>
        <w:t>储能企业、虚拟电厂等同时存在发用电特性的新型主体，可根据其自身的购售电需求作为用电企业或发电企业参与省内中长期市场的注册、交易、结算，相关要求可参照本细则和省内相关电力市场细则执行。</w:t>
      </w:r>
    </w:p>
    <w:p w14:paraId="7E6FA7B6">
      <w:pPr>
        <w:numPr>
          <w:ilvl w:val="0"/>
          <w:numId w:val="4"/>
        </w:numPr>
        <w:shd w:val="clear"/>
        <w:spacing w:line="560" w:lineRule="exact"/>
        <w:ind w:firstLine="0"/>
        <w:rPr>
          <w:highlight w:val="none"/>
        </w:rPr>
      </w:pPr>
      <w:r>
        <w:rPr>
          <w:rFonts w:hint="eastAsia" w:ascii="Times New Roman" w:hAnsi="Times New Roman" w:eastAsia="仿宋" w:cs="华文仿宋"/>
          <w:color w:val="000000" w:themeColor="text1"/>
          <w:sz w:val="32"/>
          <w:szCs w:val="32"/>
          <w:highlight w:val="none"/>
          <w14:textFill>
            <w14:solidFill>
              <w14:schemeClr w14:val="tx1"/>
            </w14:solidFill>
          </w14:textFill>
        </w:rPr>
        <w:t>除特殊明确外，本细则所指电力交易机构均为昆明电力交易中心，</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电力</w:t>
      </w:r>
      <w:r>
        <w:rPr>
          <w:rFonts w:hint="eastAsia" w:ascii="Times New Roman" w:hAnsi="Times New Roman" w:eastAsia="仿宋" w:cs="华文仿宋"/>
          <w:color w:val="000000" w:themeColor="text1"/>
          <w:sz w:val="32"/>
          <w:szCs w:val="32"/>
          <w:highlight w:val="none"/>
          <w14:textFill>
            <w14:solidFill>
              <w14:schemeClr w14:val="tx1"/>
            </w14:solidFill>
          </w14:textFill>
        </w:rPr>
        <w:t>调度机构均为云南电力调度控制中心。</w:t>
      </w:r>
    </w:p>
    <w:p w14:paraId="0577E336">
      <w:pPr>
        <w:pStyle w:val="4"/>
        <w:shd w:val="clear"/>
        <w:spacing w:line="560" w:lineRule="exact"/>
        <w:ind w:leftChars="0" w:firstLineChars="0"/>
        <w:jc w:val="center"/>
        <w:rPr>
          <w:rFonts w:hint="eastAsia" w:cs="Times New Roman"/>
          <w:highlight w:val="none"/>
        </w:rPr>
      </w:pPr>
      <w:r>
        <w:rPr>
          <w:rFonts w:hint="eastAsia" w:ascii="Times New Roman" w:hAnsi="Times New Roman" w:eastAsia="楷体" w:cs="Times New Roman"/>
          <w:b w:val="0"/>
          <w:bCs w:val="0"/>
          <w:i w:val="0"/>
          <w:iCs w:val="0"/>
          <w:caps w:val="0"/>
          <w:color w:val="000000" w:themeColor="text1"/>
          <w:spacing w:val="0"/>
          <w:sz w:val="32"/>
          <w:szCs w:val="24"/>
          <w:highlight w:val="none"/>
          <w:shd w:val="clear" w:fill="auto"/>
          <w14:textFill>
            <w14:solidFill>
              <w14:schemeClr w14:val="tx1"/>
            </w14:solidFill>
          </w14:textFill>
        </w:rPr>
        <w:t>第一节</w:t>
      </w:r>
      <w:r>
        <w:rPr>
          <w:rFonts w:hint="eastAsia" w:cs="Times New Roman"/>
          <w:b w:val="0"/>
          <w:bCs w:val="0"/>
          <w:i w:val="0"/>
          <w:iCs w:val="0"/>
          <w:caps w:val="0"/>
          <w:color w:val="000000" w:themeColor="text1"/>
          <w:spacing w:val="0"/>
          <w:sz w:val="32"/>
          <w:szCs w:val="24"/>
          <w:highlight w:val="none"/>
          <w:shd w:val="clear" w:fill="auto"/>
          <w:lang w:val="en-US" w:eastAsia="zh-CN"/>
          <w14:textFill>
            <w14:solidFill>
              <w14:schemeClr w14:val="tx1"/>
            </w14:solidFill>
          </w14:textFill>
        </w:rPr>
        <w:t xml:space="preserve">  </w:t>
      </w:r>
      <w:r>
        <w:rPr>
          <w:rFonts w:hint="eastAsia" w:ascii="Times New Roman" w:hAnsi="Times New Roman" w:eastAsia="楷体" w:cs="Times New Roman"/>
          <w:b w:val="0"/>
          <w:bCs w:val="0"/>
          <w:i w:val="0"/>
          <w:iCs w:val="0"/>
          <w:caps w:val="0"/>
          <w:color w:val="000000" w:themeColor="text1"/>
          <w:spacing w:val="0"/>
          <w:sz w:val="32"/>
          <w:szCs w:val="24"/>
          <w:highlight w:val="none"/>
          <w:shd w:val="clear" w:fill="auto"/>
          <w14:textFill>
            <w14:solidFill>
              <w14:schemeClr w14:val="tx1"/>
            </w14:solidFill>
          </w14:textFill>
        </w:rPr>
        <w:t>权利与义务</w:t>
      </w:r>
    </w:p>
    <w:p w14:paraId="40923D4B">
      <w:pPr>
        <w:numPr>
          <w:ilvl w:val="0"/>
          <w:numId w:val="4"/>
        </w:numPr>
        <w:shd w:val="clear"/>
        <w:ind w:firstLine="640"/>
        <w:rPr>
          <w:highlight w:val="none"/>
        </w:rPr>
      </w:pPr>
      <w:r>
        <w:rPr>
          <w:rFonts w:hint="eastAsia"/>
          <w:highlight w:val="none"/>
        </w:rPr>
        <w:t>发电企业的权利和义务：</w:t>
      </w:r>
    </w:p>
    <w:p w14:paraId="1CAF0C22">
      <w:pPr>
        <w:shd w:val="clear"/>
        <w:ind w:firstLine="640"/>
        <w:rPr>
          <w:highlight w:val="none"/>
        </w:rPr>
      </w:pPr>
      <w:r>
        <w:rPr>
          <w:rFonts w:hint="eastAsia"/>
          <w:highlight w:val="none"/>
        </w:rPr>
        <w:t>（一）按照本实施细则参与电力交易，签订和履行各类交易合同，按时完成电费结算</w:t>
      </w:r>
      <w:r>
        <w:rPr>
          <w:rFonts w:hint="eastAsia"/>
          <w:highlight w:val="none"/>
          <w:lang w:eastAsia="zh-CN"/>
        </w:rPr>
        <w:t>，</w:t>
      </w:r>
      <w:r>
        <w:rPr>
          <w:rFonts w:hint="eastAsia" w:ascii="Times New Roman" w:hAnsi="Times New Roman" w:eastAsia="仿宋" w:cs="宋体"/>
          <w:sz w:val="32"/>
          <w:szCs w:val="24"/>
          <w:highlight w:val="none"/>
        </w:rPr>
        <w:t>在规定时间内可对结算结果提出异议</w:t>
      </w:r>
      <w:r>
        <w:rPr>
          <w:rFonts w:hint="eastAsia"/>
          <w:highlight w:val="none"/>
        </w:rPr>
        <w:t>；</w:t>
      </w:r>
    </w:p>
    <w:p w14:paraId="4A0D08AE">
      <w:pPr>
        <w:shd w:val="clear"/>
        <w:ind w:firstLine="640"/>
        <w:rPr>
          <w:highlight w:val="none"/>
        </w:rPr>
      </w:pPr>
      <w:r>
        <w:rPr>
          <w:rFonts w:hint="eastAsia"/>
          <w:highlight w:val="none"/>
        </w:rPr>
        <w:t>（二）获得公平的输电服务、电网接入服务和电力交易服务，按规定缴纳交易服务费</w:t>
      </w:r>
      <w:r>
        <w:rPr>
          <w:rFonts w:hint="eastAsia"/>
          <w:highlight w:val="none"/>
          <w:lang w:eastAsia="zh-CN"/>
        </w:rPr>
        <w:t>，提供承诺的有效容量和辅助服务，提供电厂检修计划、实测参数、预测运行信息、紧急停机信息等</w:t>
      </w:r>
      <w:r>
        <w:rPr>
          <w:rFonts w:hint="eastAsia"/>
          <w:highlight w:val="none"/>
        </w:rPr>
        <w:t>；</w:t>
      </w:r>
    </w:p>
    <w:p w14:paraId="1821846E">
      <w:pPr>
        <w:shd w:val="clear"/>
        <w:ind w:firstLine="640"/>
        <w:rPr>
          <w:highlight w:val="none"/>
        </w:rPr>
      </w:pPr>
      <w:r>
        <w:rPr>
          <w:rFonts w:hint="eastAsia"/>
          <w:highlight w:val="none"/>
        </w:rPr>
        <w:t>（三）签订并执行并网调度协议，服从电力调度机构的统一调度；</w:t>
      </w:r>
    </w:p>
    <w:p w14:paraId="5799CBB5">
      <w:pPr>
        <w:shd w:val="clear"/>
        <w:ind w:firstLine="640"/>
        <w:rPr>
          <w:highlight w:val="none"/>
        </w:rPr>
      </w:pPr>
      <w:r>
        <w:rPr>
          <w:rFonts w:hint="eastAsia"/>
          <w:highlight w:val="none"/>
        </w:rPr>
        <w:t>（四）依法依规提供相关市场信息，按照信息披露有关规定获得市场交易、输配电服务、信用评价、电力负荷、系统运行等相关信息，并承担保密义务；</w:t>
      </w:r>
    </w:p>
    <w:p w14:paraId="68475FDD">
      <w:pPr>
        <w:shd w:val="clear"/>
        <w:ind w:firstLine="640"/>
        <w:rPr>
          <w:highlight w:val="none"/>
        </w:rPr>
      </w:pPr>
      <w:r>
        <w:rPr>
          <w:rFonts w:hint="eastAsia"/>
          <w:highlight w:val="none"/>
        </w:rPr>
        <w:t>（五）具备满足参与市场化交易要求的技术支持手段；</w:t>
      </w:r>
    </w:p>
    <w:p w14:paraId="2A114867">
      <w:pPr>
        <w:shd w:val="clear"/>
        <w:ind w:firstLine="640"/>
        <w:rPr>
          <w:highlight w:val="none"/>
        </w:rPr>
      </w:pPr>
      <w:r>
        <w:rPr>
          <w:rFonts w:hint="eastAsia"/>
          <w:highlight w:val="none"/>
        </w:rPr>
        <w:t>（</w:t>
      </w:r>
      <w:r>
        <w:rPr>
          <w:highlight w:val="none"/>
        </w:rPr>
        <w:t>六</w:t>
      </w:r>
      <w:r>
        <w:rPr>
          <w:rFonts w:hint="eastAsia"/>
          <w:highlight w:val="none"/>
        </w:rPr>
        <w:t>）法律法规规定的其他权利和义务。</w:t>
      </w:r>
    </w:p>
    <w:p w14:paraId="68F63F24">
      <w:pPr>
        <w:numPr>
          <w:ilvl w:val="0"/>
          <w:numId w:val="4"/>
        </w:numPr>
        <w:shd w:val="clear"/>
        <w:ind w:firstLine="640"/>
        <w:rPr>
          <w:highlight w:val="none"/>
        </w:rPr>
      </w:pPr>
      <w:r>
        <w:rPr>
          <w:rFonts w:hint="eastAsia"/>
          <w:highlight w:val="none"/>
        </w:rPr>
        <w:t>电力用户的权利和义务：</w:t>
      </w:r>
    </w:p>
    <w:p w14:paraId="4BD689C8">
      <w:pPr>
        <w:shd w:val="clear"/>
        <w:ind w:firstLine="640"/>
        <w:rPr>
          <w:highlight w:val="none"/>
        </w:rPr>
      </w:pPr>
      <w:r>
        <w:rPr>
          <w:rFonts w:hint="eastAsia"/>
          <w:highlight w:val="none"/>
        </w:rPr>
        <w:t>（一）按照本实施细则参与电力市场化交易，签订和履行购售电合同、输配电服务合同，提供市场化交易所</w:t>
      </w:r>
      <w:r>
        <w:rPr>
          <w:rFonts w:hint="eastAsia"/>
          <w:highlight w:val="none"/>
          <w:lang w:eastAsia="zh-CN"/>
        </w:rPr>
        <w:t>必需</w:t>
      </w:r>
      <w:r>
        <w:rPr>
          <w:rFonts w:hint="eastAsia"/>
          <w:highlight w:val="none"/>
        </w:rPr>
        <w:t>的电力电量需求、典型负荷曲线以及相关生产信息；</w:t>
      </w:r>
    </w:p>
    <w:p w14:paraId="5414F2A0">
      <w:pPr>
        <w:shd w:val="clear"/>
        <w:ind w:firstLine="640"/>
        <w:rPr>
          <w:highlight w:val="none"/>
        </w:rPr>
      </w:pPr>
      <w:r>
        <w:rPr>
          <w:rFonts w:hint="eastAsia"/>
          <w:highlight w:val="none"/>
        </w:rPr>
        <w:t>（二）获得公平的输配电服务、电网接入服务和电力交易服务，按规定支付购电费、输配电费、线损电费、系统运行费（含辅助服务费）、政府性基金及附加等，按规定缴纳交易服务费；</w:t>
      </w:r>
    </w:p>
    <w:p w14:paraId="7FAF3A27">
      <w:pPr>
        <w:shd w:val="clear"/>
        <w:ind w:firstLine="640"/>
        <w:rPr>
          <w:highlight w:val="none"/>
        </w:rPr>
      </w:pPr>
      <w:r>
        <w:rPr>
          <w:rFonts w:hint="eastAsia"/>
          <w:highlight w:val="none"/>
        </w:rPr>
        <w:t>（三）依法依规披露和提供信息，获得市场化交易和输配电服务等相关信息，并承担保密义务；</w:t>
      </w:r>
    </w:p>
    <w:p w14:paraId="4C6A2764">
      <w:pPr>
        <w:shd w:val="clear"/>
        <w:ind w:firstLine="640"/>
        <w:rPr>
          <w:highlight w:val="none"/>
        </w:rPr>
      </w:pPr>
      <w:r>
        <w:rPr>
          <w:rFonts w:hint="eastAsia"/>
          <w:highlight w:val="none"/>
        </w:rPr>
        <w:t>（四）服从电力调度机构的统一调度，在系统特殊运行状况下（如事故、严重供不应求等）按照电力调度机构要求安排用电；</w:t>
      </w:r>
    </w:p>
    <w:p w14:paraId="00D48756">
      <w:pPr>
        <w:shd w:val="clear"/>
        <w:ind w:firstLine="640"/>
        <w:rPr>
          <w:highlight w:val="none"/>
        </w:rPr>
      </w:pPr>
      <w:r>
        <w:rPr>
          <w:rFonts w:hint="eastAsia"/>
          <w:highlight w:val="none"/>
        </w:rPr>
        <w:t>（五）遵守云南省能源局有关电力需求侧管理规定，执行有序用电管理，配合开展错避峰；</w:t>
      </w:r>
    </w:p>
    <w:p w14:paraId="789CC0AC">
      <w:pPr>
        <w:shd w:val="clear"/>
        <w:ind w:firstLine="640"/>
        <w:rPr>
          <w:highlight w:val="none"/>
        </w:rPr>
      </w:pPr>
      <w:r>
        <w:rPr>
          <w:rFonts w:hint="eastAsia"/>
          <w:highlight w:val="none"/>
        </w:rPr>
        <w:t>（六）依法依规履行清洁能源消纳责任；</w:t>
      </w:r>
    </w:p>
    <w:p w14:paraId="5D7A66D0">
      <w:pPr>
        <w:shd w:val="clear"/>
        <w:ind w:firstLine="640"/>
        <w:rPr>
          <w:highlight w:val="none"/>
        </w:rPr>
      </w:pPr>
      <w:r>
        <w:rPr>
          <w:rFonts w:hint="eastAsia"/>
          <w:highlight w:val="none"/>
        </w:rPr>
        <w:t>（七）具备满足参与市场化交易要求的技术支持手段；</w:t>
      </w:r>
    </w:p>
    <w:p w14:paraId="1BBBDEB3">
      <w:pPr>
        <w:shd w:val="clear"/>
        <w:ind w:firstLine="640"/>
        <w:rPr>
          <w:highlight w:val="none"/>
        </w:rPr>
      </w:pPr>
      <w:r>
        <w:rPr>
          <w:rFonts w:hint="eastAsia"/>
          <w:highlight w:val="none"/>
        </w:rPr>
        <w:t>（八）法律法规规定的其他权利和义务。</w:t>
      </w:r>
    </w:p>
    <w:p w14:paraId="56EE05C7">
      <w:pPr>
        <w:numPr>
          <w:ilvl w:val="0"/>
          <w:numId w:val="4"/>
        </w:numPr>
        <w:shd w:val="clear"/>
        <w:ind w:firstLine="640"/>
        <w:rPr>
          <w:highlight w:val="none"/>
        </w:rPr>
      </w:pPr>
      <w:r>
        <w:rPr>
          <w:rFonts w:hint="eastAsia"/>
          <w:highlight w:val="none"/>
        </w:rPr>
        <w:t>售电公司的权利和义务：</w:t>
      </w:r>
    </w:p>
    <w:p w14:paraId="38DA633D">
      <w:pPr>
        <w:shd w:val="clear"/>
        <w:ind w:firstLine="640"/>
        <w:rPr>
          <w:rFonts w:hint="eastAsia" w:ascii="仿宋" w:hAnsi="仿宋" w:cs="仿宋"/>
          <w:szCs w:val="32"/>
          <w:highlight w:val="none"/>
          <w:lang w:eastAsia="zh-CN" w:bidi="ar"/>
        </w:rPr>
      </w:pPr>
      <w:r>
        <w:rPr>
          <w:rFonts w:hint="eastAsia"/>
          <w:highlight w:val="none"/>
          <w:lang w:eastAsia="zh-CN"/>
        </w:rPr>
        <w:t>（</w:t>
      </w:r>
      <w:r>
        <w:rPr>
          <w:rFonts w:hint="eastAsia"/>
          <w:highlight w:val="none"/>
          <w:lang w:val="en-US" w:eastAsia="zh-CN"/>
        </w:rPr>
        <w:t>一</w:t>
      </w:r>
      <w:r>
        <w:rPr>
          <w:rFonts w:hint="eastAsia"/>
          <w:highlight w:val="none"/>
          <w:lang w:eastAsia="zh-CN"/>
        </w:rPr>
        <w:t>）按照</w:t>
      </w:r>
      <w:r>
        <w:rPr>
          <w:rFonts w:hint="eastAsia"/>
          <w:highlight w:val="none"/>
          <w:lang w:val="en-US" w:eastAsia="zh-CN"/>
        </w:rPr>
        <w:t>本实施细则</w:t>
      </w:r>
      <w:r>
        <w:rPr>
          <w:rFonts w:hint="eastAsia"/>
          <w:highlight w:val="none"/>
          <w:lang w:eastAsia="zh-CN"/>
        </w:rPr>
        <w:t>参与</w:t>
      </w:r>
      <w:r>
        <w:rPr>
          <w:rFonts w:hint="eastAsia"/>
          <w:highlight w:val="none"/>
          <w:lang w:val="en-US" w:eastAsia="zh-CN"/>
        </w:rPr>
        <w:t>电力市场化</w:t>
      </w:r>
      <w:r>
        <w:rPr>
          <w:rFonts w:hint="eastAsia"/>
          <w:highlight w:val="none"/>
          <w:lang w:eastAsia="zh-CN"/>
        </w:rPr>
        <w:t>交易，提供增值服务，与用户签订零售合同，并履行合同规定的各项义务，</w:t>
      </w:r>
      <w:r>
        <w:rPr>
          <w:rFonts w:hint="eastAsia" w:ascii="仿宋" w:hAnsi="仿宋" w:cs="仿宋"/>
          <w:szCs w:val="32"/>
          <w:highlight w:val="none"/>
          <w:lang w:bidi="ar"/>
        </w:rPr>
        <w:t>可以采取多种方式通过电力市场购售电</w:t>
      </w:r>
      <w:r>
        <w:rPr>
          <w:rFonts w:hint="eastAsia" w:ascii="仿宋" w:hAnsi="仿宋" w:cs="仿宋"/>
          <w:szCs w:val="32"/>
          <w:highlight w:val="none"/>
          <w:lang w:eastAsia="zh-CN" w:bidi="ar"/>
        </w:rPr>
        <w:t>；</w:t>
      </w:r>
    </w:p>
    <w:p w14:paraId="59F2DB95">
      <w:pPr>
        <w:shd w:val="clear"/>
        <w:autoSpaceDE w:val="0"/>
        <w:ind w:firstLine="640"/>
        <w:rPr>
          <w:rFonts w:hint="eastAsia" w:ascii="仿宋" w:hAnsi="仿宋" w:eastAsia="仿宋" w:cs="仿宋"/>
          <w:szCs w:val="32"/>
          <w:highlight w:val="none"/>
          <w:lang w:eastAsia="zh-CN" w:bidi="ar"/>
        </w:rPr>
      </w:pPr>
      <w:r>
        <w:rPr>
          <w:rFonts w:hint="eastAsia" w:ascii="仿宋" w:hAnsi="仿宋" w:cs="仿宋"/>
          <w:szCs w:val="32"/>
          <w:highlight w:val="none"/>
          <w:lang w:bidi="ar"/>
        </w:rPr>
        <w:t>（</w:t>
      </w:r>
      <w:r>
        <w:rPr>
          <w:rFonts w:hint="eastAsia" w:ascii="仿宋" w:hAnsi="仿宋" w:cs="仿宋"/>
          <w:szCs w:val="32"/>
          <w:highlight w:val="none"/>
          <w:lang w:val="en-US" w:eastAsia="zh-CN" w:bidi="ar"/>
        </w:rPr>
        <w:t>二</w:t>
      </w:r>
      <w:r>
        <w:rPr>
          <w:rFonts w:hint="eastAsia" w:ascii="仿宋" w:hAnsi="仿宋" w:cs="仿宋"/>
          <w:szCs w:val="32"/>
          <w:highlight w:val="none"/>
          <w:lang w:bidi="ar"/>
        </w:rPr>
        <w:t>）按照</w:t>
      </w:r>
      <w:r>
        <w:rPr>
          <w:rFonts w:hint="eastAsia" w:ascii="仿宋" w:hAnsi="仿宋" w:cs="仿宋"/>
          <w:szCs w:val="32"/>
          <w:highlight w:val="none"/>
          <w:lang w:val="en-US" w:eastAsia="zh-CN" w:bidi="ar"/>
        </w:rPr>
        <w:t>信息披露相关规则</w:t>
      </w:r>
      <w:r>
        <w:rPr>
          <w:rFonts w:hint="eastAsia" w:ascii="仿宋" w:hAnsi="仿宋" w:cs="仿宋"/>
          <w:szCs w:val="32"/>
          <w:highlight w:val="none"/>
          <w:lang w:bidi="ar"/>
        </w:rPr>
        <w:t>向电力交易机构提供代理零售用户的交易合同及电力电量需求，获得电力交易、输配电服务和代理零售用户历史用电负荷（或典型用电负荷）等相关信息，承担用户信息保密义务</w:t>
      </w:r>
      <w:r>
        <w:rPr>
          <w:rFonts w:hint="eastAsia" w:ascii="仿宋" w:hAnsi="仿宋" w:cs="仿宋"/>
          <w:szCs w:val="32"/>
          <w:highlight w:val="none"/>
          <w:lang w:eastAsia="zh-CN" w:bidi="ar"/>
        </w:rPr>
        <w:t>；</w:t>
      </w:r>
    </w:p>
    <w:p w14:paraId="6EB8AD10">
      <w:pPr>
        <w:shd w:val="clear"/>
        <w:autoSpaceDE w:val="0"/>
        <w:ind w:firstLine="640"/>
        <w:rPr>
          <w:szCs w:val="32"/>
          <w:highlight w:val="none"/>
        </w:rPr>
      </w:pPr>
      <w:r>
        <w:rPr>
          <w:rFonts w:hint="eastAsia" w:ascii="仿宋" w:hAnsi="仿宋" w:cs="仿宋"/>
          <w:szCs w:val="32"/>
          <w:highlight w:val="none"/>
          <w:lang w:bidi="ar"/>
        </w:rPr>
        <w:t>（三）获得电网企业的电费结算服务；</w:t>
      </w:r>
    </w:p>
    <w:p w14:paraId="26058A92">
      <w:pPr>
        <w:shd w:val="clear"/>
        <w:autoSpaceDE w:val="0"/>
        <w:ind w:firstLine="640"/>
        <w:rPr>
          <w:szCs w:val="32"/>
          <w:highlight w:val="none"/>
        </w:rPr>
      </w:pPr>
      <w:r>
        <w:rPr>
          <w:rFonts w:hint="eastAsia" w:ascii="仿宋" w:hAnsi="仿宋" w:cs="仿宋"/>
          <w:szCs w:val="32"/>
          <w:highlight w:val="none"/>
          <w:lang w:bidi="ar"/>
        </w:rPr>
        <w:t>（四）可向用户提供包括但不限于合同能源管理、综合节能、合理用能咨询和用电设备运行维护等增值服务，并收取相应费用</w:t>
      </w:r>
      <w:r>
        <w:rPr>
          <w:rFonts w:hint="eastAsia" w:ascii="仿宋" w:hAnsi="仿宋" w:cs="仿宋"/>
          <w:szCs w:val="32"/>
          <w:highlight w:val="none"/>
          <w:lang w:eastAsia="zh-CN" w:bidi="ar"/>
        </w:rPr>
        <w:t>，具有配电网运营权的售电公司负责提供相应配电服务，</w:t>
      </w:r>
      <w:r>
        <w:rPr>
          <w:rFonts w:hint="eastAsia" w:ascii="仿宋" w:hAnsi="仿宋" w:cs="仿宋"/>
          <w:szCs w:val="32"/>
          <w:highlight w:val="none"/>
          <w:lang w:val="en-US" w:eastAsia="zh-CN" w:bidi="ar"/>
        </w:rPr>
        <w:t>按照政策或</w:t>
      </w:r>
      <w:r>
        <w:rPr>
          <w:rFonts w:hint="eastAsia" w:ascii="仿宋" w:hAnsi="仿宋" w:cs="仿宋"/>
          <w:szCs w:val="32"/>
          <w:highlight w:val="none"/>
          <w:lang w:eastAsia="zh-CN" w:bidi="ar"/>
        </w:rPr>
        <w:t>用户委托提供代理购电服务</w:t>
      </w:r>
      <w:r>
        <w:rPr>
          <w:rFonts w:hint="eastAsia" w:ascii="仿宋" w:hAnsi="仿宋" w:cs="仿宋"/>
          <w:szCs w:val="32"/>
          <w:highlight w:val="none"/>
          <w:lang w:bidi="ar"/>
        </w:rPr>
        <w:t>；</w:t>
      </w:r>
    </w:p>
    <w:p w14:paraId="062379E4">
      <w:pPr>
        <w:shd w:val="clear"/>
        <w:autoSpaceDE w:val="0"/>
        <w:ind w:firstLine="640"/>
        <w:rPr>
          <w:szCs w:val="32"/>
          <w:highlight w:val="none"/>
        </w:rPr>
      </w:pPr>
      <w:r>
        <w:rPr>
          <w:rFonts w:hint="eastAsia" w:ascii="仿宋" w:hAnsi="仿宋" w:cs="仿宋"/>
          <w:szCs w:val="32"/>
          <w:highlight w:val="none"/>
          <w:lang w:bidi="ar"/>
        </w:rPr>
        <w:t>（</w:t>
      </w:r>
      <w:r>
        <w:rPr>
          <w:rFonts w:hint="eastAsia" w:ascii="仿宋" w:hAnsi="仿宋" w:cs="仿宋"/>
          <w:szCs w:val="32"/>
          <w:highlight w:val="none"/>
          <w:lang w:val="en-US" w:eastAsia="zh-CN" w:bidi="ar"/>
        </w:rPr>
        <w:t>五</w:t>
      </w:r>
      <w:r>
        <w:rPr>
          <w:rFonts w:hint="eastAsia" w:ascii="仿宋" w:hAnsi="仿宋" w:cs="仿宋"/>
          <w:szCs w:val="32"/>
          <w:highlight w:val="none"/>
          <w:lang w:bidi="ar"/>
        </w:rPr>
        <w:t>）受委托代理用户与电网企业的涉网事宜；</w:t>
      </w:r>
    </w:p>
    <w:p w14:paraId="6EB09634">
      <w:pPr>
        <w:shd w:val="clear"/>
        <w:autoSpaceDE w:val="0"/>
        <w:ind w:firstLine="640"/>
        <w:rPr>
          <w:szCs w:val="32"/>
          <w:highlight w:val="none"/>
        </w:rPr>
      </w:pPr>
      <w:r>
        <w:rPr>
          <w:rFonts w:hint="eastAsia" w:ascii="仿宋" w:hAnsi="仿宋" w:cs="仿宋"/>
          <w:szCs w:val="32"/>
          <w:highlight w:val="none"/>
          <w:lang w:bidi="ar"/>
        </w:rPr>
        <w:t>（</w:t>
      </w:r>
      <w:r>
        <w:rPr>
          <w:rFonts w:hint="eastAsia" w:ascii="仿宋" w:hAnsi="仿宋" w:cs="仿宋"/>
          <w:szCs w:val="32"/>
          <w:highlight w:val="none"/>
          <w:lang w:val="en-US" w:eastAsia="zh-CN" w:bidi="ar"/>
        </w:rPr>
        <w:t>六</w:t>
      </w:r>
      <w:r>
        <w:rPr>
          <w:rFonts w:hint="eastAsia" w:ascii="仿宋" w:hAnsi="仿宋" w:cs="仿宋"/>
          <w:szCs w:val="32"/>
          <w:highlight w:val="none"/>
          <w:lang w:bidi="ar"/>
        </w:rPr>
        <w:t>）按照国家有关规定，在电力交易平台</w:t>
      </w:r>
      <w:r>
        <w:rPr>
          <w:rFonts w:hint="eastAsia" w:ascii="仿宋" w:hAnsi="仿宋" w:cs="仿宋"/>
          <w:szCs w:val="32"/>
          <w:highlight w:val="none"/>
          <w:lang w:val="en-US" w:eastAsia="zh-CN" w:bidi="ar"/>
        </w:rPr>
        <w:t>或</w:t>
      </w:r>
      <w:r>
        <w:rPr>
          <w:rFonts w:hint="eastAsia" w:ascii="仿宋" w:hAnsi="仿宋" w:cs="仿宋"/>
          <w:szCs w:val="32"/>
          <w:highlight w:val="none"/>
          <w:lang w:bidi="ar"/>
        </w:rPr>
        <w:t>政府指定网站上公示公司资产、从业人员、场所、技术支持系统、经营状况等信息、证明材料和信用承诺，依法及时对公司重大事项进行公告，并定期公布公司年报；</w:t>
      </w:r>
    </w:p>
    <w:p w14:paraId="521386F3">
      <w:pPr>
        <w:shd w:val="clear"/>
        <w:autoSpaceDE w:val="0"/>
        <w:ind w:firstLine="640"/>
        <w:rPr>
          <w:szCs w:val="32"/>
          <w:highlight w:val="none"/>
        </w:rPr>
      </w:pPr>
      <w:r>
        <w:rPr>
          <w:rFonts w:hint="eastAsia" w:ascii="仿宋" w:hAnsi="仿宋" w:cs="仿宋"/>
          <w:szCs w:val="32"/>
          <w:highlight w:val="none"/>
          <w:lang w:bidi="ar"/>
        </w:rPr>
        <w:t>（</w:t>
      </w:r>
      <w:r>
        <w:rPr>
          <w:rFonts w:hint="eastAsia" w:ascii="仿宋" w:hAnsi="仿宋" w:cs="仿宋"/>
          <w:szCs w:val="32"/>
          <w:highlight w:val="none"/>
          <w:lang w:val="en-US" w:eastAsia="zh-CN" w:bidi="ar"/>
        </w:rPr>
        <w:t>七</w:t>
      </w:r>
      <w:r>
        <w:rPr>
          <w:rFonts w:hint="eastAsia" w:ascii="仿宋" w:hAnsi="仿宋" w:cs="仿宋"/>
          <w:szCs w:val="32"/>
          <w:highlight w:val="none"/>
          <w:lang w:bidi="ar"/>
        </w:rPr>
        <w:t>）不得干涉用户自由选择售电公司的权利；</w:t>
      </w:r>
    </w:p>
    <w:p w14:paraId="2ED7B553">
      <w:pPr>
        <w:shd w:val="clear"/>
        <w:autoSpaceDE w:val="0"/>
        <w:ind w:firstLine="640"/>
        <w:rPr>
          <w:szCs w:val="32"/>
          <w:highlight w:val="none"/>
        </w:rPr>
      </w:pPr>
      <w:r>
        <w:rPr>
          <w:rFonts w:hint="eastAsia" w:ascii="仿宋" w:hAnsi="仿宋" w:cs="仿宋"/>
          <w:szCs w:val="32"/>
          <w:highlight w:val="none"/>
          <w:lang w:bidi="ar"/>
        </w:rPr>
        <w:t>（</w:t>
      </w:r>
      <w:r>
        <w:rPr>
          <w:rFonts w:hint="eastAsia" w:ascii="仿宋" w:hAnsi="仿宋" w:cs="仿宋"/>
          <w:szCs w:val="32"/>
          <w:highlight w:val="none"/>
          <w:lang w:val="en-US" w:eastAsia="zh-CN" w:bidi="ar"/>
        </w:rPr>
        <w:t>八</w:t>
      </w:r>
      <w:r>
        <w:rPr>
          <w:rFonts w:hint="eastAsia" w:ascii="仿宋" w:hAnsi="仿宋" w:cs="仿宋"/>
          <w:szCs w:val="32"/>
          <w:highlight w:val="none"/>
          <w:lang w:bidi="ar"/>
        </w:rPr>
        <w:t>）按照可再生能源电力消纳责任权重有关规定，承担与年售电量相对应的可再生能源电力消纳量；</w:t>
      </w:r>
    </w:p>
    <w:p w14:paraId="7311638C">
      <w:pPr>
        <w:shd w:val="clear"/>
        <w:ind w:firstLine="640"/>
        <w:rPr>
          <w:rFonts w:hint="eastAsia" w:ascii="仿宋" w:hAnsi="仿宋" w:cs="仿宋"/>
          <w:szCs w:val="32"/>
          <w:highlight w:val="none"/>
          <w:lang w:bidi="ar"/>
        </w:rPr>
      </w:pPr>
      <w:r>
        <w:rPr>
          <w:rFonts w:hint="eastAsia" w:ascii="仿宋" w:hAnsi="仿宋" w:cs="仿宋"/>
          <w:szCs w:val="32"/>
          <w:highlight w:val="none"/>
          <w:lang w:bidi="ar"/>
        </w:rPr>
        <w:t>（</w:t>
      </w:r>
      <w:r>
        <w:rPr>
          <w:rFonts w:hint="eastAsia" w:ascii="仿宋" w:hAnsi="仿宋" w:cs="仿宋"/>
          <w:szCs w:val="32"/>
          <w:highlight w:val="none"/>
          <w:lang w:val="en-US" w:eastAsia="zh-CN" w:bidi="ar"/>
        </w:rPr>
        <w:t>九</w:t>
      </w:r>
      <w:r>
        <w:rPr>
          <w:rFonts w:hint="eastAsia" w:ascii="仿宋" w:hAnsi="仿宋" w:cs="仿宋"/>
          <w:szCs w:val="32"/>
          <w:highlight w:val="none"/>
          <w:lang w:bidi="ar"/>
        </w:rPr>
        <w:t>）同意电力交易机构对其公司及公司从业人员满足注册条件的信息、证明材料对外公示，以及对其持续满足注册条件开展的动态管理。</w:t>
      </w:r>
    </w:p>
    <w:p w14:paraId="5632FCDA">
      <w:pPr>
        <w:ind w:firstLine="640"/>
        <w:rPr>
          <w:rFonts w:hint="eastAsia" w:ascii="仿宋" w:hAnsi="仿宋" w:cs="仿宋"/>
          <w:szCs w:val="32"/>
          <w:highlight w:val="none"/>
          <w:lang w:bidi="ar"/>
        </w:rPr>
      </w:pPr>
      <w:r>
        <w:rPr>
          <w:rFonts w:hint="eastAsia" w:ascii="仿宋" w:hAnsi="仿宋" w:cs="仿宋"/>
          <w:szCs w:val="32"/>
          <w:highlight w:val="none"/>
          <w:lang w:bidi="ar"/>
        </w:rPr>
        <w:t>（</w:t>
      </w:r>
      <w:r>
        <w:rPr>
          <w:rFonts w:hint="eastAsia" w:ascii="仿宋" w:hAnsi="仿宋" w:cs="仿宋"/>
          <w:szCs w:val="32"/>
          <w:highlight w:val="none"/>
          <w:lang w:val="en-US" w:eastAsia="zh-CN" w:bidi="ar"/>
        </w:rPr>
        <w:t>十</w:t>
      </w:r>
      <w:r>
        <w:rPr>
          <w:rFonts w:hint="eastAsia" w:ascii="仿宋" w:hAnsi="仿宋" w:cs="仿宋"/>
          <w:szCs w:val="32"/>
          <w:highlight w:val="none"/>
          <w:lang w:bidi="ar"/>
        </w:rPr>
        <w:t>）</w:t>
      </w:r>
      <w:r>
        <w:rPr>
          <w:rFonts w:hint="eastAsia" w:ascii="仿宋" w:hAnsi="仿宋" w:cs="仿宋"/>
          <w:szCs w:val="32"/>
          <w:highlight w:val="none"/>
          <w:lang w:val="en-US" w:eastAsia="zh-CN" w:bidi="ar"/>
        </w:rPr>
        <w:t>可根据国家售电公司相关要求，开展电力市场保底售电业务，云南电力市场保底售电方案等具体要求由省级主管部门另行明确</w:t>
      </w:r>
      <w:r>
        <w:rPr>
          <w:rFonts w:hint="eastAsia" w:ascii="仿宋" w:hAnsi="仿宋" w:cs="仿宋"/>
          <w:szCs w:val="32"/>
          <w:highlight w:val="none"/>
          <w:lang w:bidi="ar"/>
        </w:rPr>
        <w:t>。</w:t>
      </w:r>
    </w:p>
    <w:p w14:paraId="2FF1A8E9">
      <w:pPr>
        <w:shd w:val="clear"/>
        <w:ind w:firstLine="640"/>
        <w:rPr>
          <w:rFonts w:hint="eastAsia" w:ascii="仿宋" w:hAnsi="仿宋" w:cs="仿宋"/>
          <w:szCs w:val="32"/>
          <w:highlight w:val="none"/>
          <w:lang w:bidi="ar"/>
        </w:rPr>
      </w:pPr>
      <w:r>
        <w:rPr>
          <w:rFonts w:hint="eastAsia" w:ascii="仿宋" w:hAnsi="仿宋" w:cs="仿宋"/>
          <w:szCs w:val="32"/>
          <w:highlight w:val="none"/>
          <w:lang w:bidi="ar"/>
        </w:rPr>
        <w:t>（</w:t>
      </w:r>
      <w:r>
        <w:rPr>
          <w:rFonts w:hint="eastAsia" w:ascii="仿宋" w:hAnsi="仿宋" w:cs="仿宋"/>
          <w:szCs w:val="32"/>
          <w:highlight w:val="none"/>
          <w:lang w:val="en-US" w:eastAsia="zh-CN" w:bidi="ar"/>
        </w:rPr>
        <w:t>十一</w:t>
      </w:r>
      <w:r>
        <w:rPr>
          <w:rFonts w:hint="eastAsia" w:ascii="仿宋" w:hAnsi="仿宋" w:cs="仿宋"/>
          <w:szCs w:val="32"/>
          <w:highlight w:val="none"/>
          <w:lang w:bidi="ar"/>
        </w:rPr>
        <w:t>）法律法规规定的其他权利和义务。</w:t>
      </w:r>
    </w:p>
    <w:p w14:paraId="3AC06A79">
      <w:pPr>
        <w:numPr>
          <w:ilvl w:val="0"/>
          <w:numId w:val="4"/>
        </w:numPr>
        <w:shd w:val="clear"/>
        <w:ind w:firstLine="640"/>
        <w:rPr>
          <w:highlight w:val="none"/>
        </w:rPr>
      </w:pPr>
      <w:r>
        <w:rPr>
          <w:rFonts w:hint="eastAsia"/>
          <w:highlight w:val="none"/>
        </w:rPr>
        <w:t>电网企业的权利和义务：</w:t>
      </w:r>
    </w:p>
    <w:p w14:paraId="130FB9E9">
      <w:pPr>
        <w:shd w:val="clear"/>
        <w:ind w:firstLine="640"/>
        <w:rPr>
          <w:highlight w:val="none"/>
        </w:rPr>
      </w:pPr>
      <w:r>
        <w:rPr>
          <w:rFonts w:hint="eastAsia"/>
          <w:highlight w:val="none"/>
        </w:rPr>
        <w:t>（一）保障电网以及输配电设施的安全稳定运行；</w:t>
      </w:r>
    </w:p>
    <w:p w14:paraId="56D80DA1">
      <w:pPr>
        <w:shd w:val="clear"/>
        <w:ind w:firstLine="640"/>
        <w:rPr>
          <w:highlight w:val="none"/>
        </w:rPr>
      </w:pPr>
      <w:r>
        <w:rPr>
          <w:rFonts w:hint="eastAsia"/>
          <w:highlight w:val="none"/>
        </w:rPr>
        <w:t>（二）为</w:t>
      </w:r>
      <w:r>
        <w:rPr>
          <w:rFonts w:hint="eastAsia"/>
          <w:highlight w:val="none"/>
          <w:lang w:val="en-US" w:eastAsia="zh-CN"/>
        </w:rPr>
        <w:t>经营</w:t>
      </w:r>
      <w:r>
        <w:rPr>
          <w:rFonts w:hint="eastAsia"/>
          <w:highlight w:val="none"/>
        </w:rPr>
        <w:t>主体提供公平的输配电服务和电网接入服务，提供报装、计量、抄表、收费等各类供电服务；</w:t>
      </w:r>
    </w:p>
    <w:p w14:paraId="2EACDE1F">
      <w:pPr>
        <w:shd w:val="clear"/>
        <w:ind w:firstLine="640"/>
        <w:rPr>
          <w:highlight w:val="none"/>
        </w:rPr>
      </w:pPr>
      <w:r>
        <w:rPr>
          <w:rFonts w:hint="eastAsia"/>
          <w:highlight w:val="none"/>
        </w:rPr>
        <w:t>（三）建设、运行、维护和管理电网配套技术支持系统，服从电力调度机构的统一调度；</w:t>
      </w:r>
    </w:p>
    <w:p w14:paraId="2BD41CAD">
      <w:pPr>
        <w:shd w:val="clear"/>
        <w:ind w:firstLine="640"/>
        <w:rPr>
          <w:highlight w:val="none"/>
        </w:rPr>
      </w:pPr>
      <w:r>
        <w:rPr>
          <w:rFonts w:hint="eastAsia"/>
          <w:highlight w:val="none"/>
        </w:rPr>
        <w:t>（四）按照电力企业信息披露和报送等有关规定披露和提供信息</w:t>
      </w:r>
      <w:r>
        <w:rPr>
          <w:rFonts w:hint="eastAsia"/>
          <w:highlight w:val="none"/>
          <w:lang w:eastAsia="zh-CN"/>
        </w:rPr>
        <w:t>，</w:t>
      </w:r>
      <w:r>
        <w:rPr>
          <w:rFonts w:hint="eastAsia"/>
          <w:highlight w:val="none"/>
        </w:rPr>
        <w:t>并承担保密义务，向电力交易机构提供支撑市场化交易和市场服务所需的相关数据，保证数据交互的准确性和及时性</w:t>
      </w:r>
      <w:r>
        <w:rPr>
          <w:rFonts w:hint="eastAsia"/>
          <w:highlight w:val="none"/>
          <w:lang w:eastAsia="zh-CN"/>
        </w:rPr>
        <w:t>，</w:t>
      </w:r>
      <w:r>
        <w:rPr>
          <w:rFonts w:hint="eastAsia"/>
          <w:highlight w:val="none"/>
        </w:rPr>
        <w:t>按照国家网络安全有关规定实现与电力交易机构的数据交互；</w:t>
      </w:r>
    </w:p>
    <w:p w14:paraId="34A6DADD">
      <w:pPr>
        <w:shd w:val="clear"/>
        <w:ind w:firstLine="640"/>
        <w:rPr>
          <w:highlight w:val="none"/>
        </w:rPr>
      </w:pPr>
      <w:r>
        <w:rPr>
          <w:rFonts w:hint="eastAsia"/>
          <w:highlight w:val="none"/>
        </w:rPr>
        <w:t>（五）收取输配电费，代收代付电费和政府性基金及附加等，按时完成电费结算；</w:t>
      </w:r>
    </w:p>
    <w:p w14:paraId="0432F959">
      <w:pPr>
        <w:shd w:val="clear"/>
        <w:ind w:firstLine="640"/>
        <w:rPr>
          <w:rFonts w:hint="eastAsia"/>
          <w:highlight w:val="none"/>
        </w:rPr>
      </w:pPr>
      <w:r>
        <w:rPr>
          <w:rFonts w:hint="eastAsia"/>
          <w:highlight w:val="none"/>
        </w:rPr>
        <w:t>（六）保障居民（含执行居民电价的学校、社会福利机构、社区服务中心等公益性事业用户）、农业用电供应，执行</w:t>
      </w:r>
      <w:r>
        <w:rPr>
          <w:rFonts w:hint="eastAsia"/>
          <w:highlight w:val="none"/>
          <w:lang w:val="en-US" w:eastAsia="zh-CN"/>
        </w:rPr>
        <w:t>国家最新电价</w:t>
      </w:r>
      <w:r>
        <w:rPr>
          <w:rFonts w:hint="eastAsia"/>
          <w:highlight w:val="none"/>
        </w:rPr>
        <w:t>政策；单独预测居民、农业用户的用电量规模及典型用电曲线；</w:t>
      </w:r>
    </w:p>
    <w:p w14:paraId="4E9D34D3">
      <w:pPr>
        <w:shd w:val="clear"/>
        <w:ind w:firstLine="640"/>
        <w:rPr>
          <w:rFonts w:hint="eastAsia" w:eastAsia="仿宋"/>
          <w:highlight w:val="none"/>
          <w:lang w:eastAsia="zh-CN"/>
        </w:rPr>
      </w:pPr>
      <w:r>
        <w:rPr>
          <w:rFonts w:hint="eastAsia"/>
          <w:highlight w:val="none"/>
          <w:lang w:eastAsia="zh-CN"/>
        </w:rPr>
        <w:t>（</w:t>
      </w:r>
      <w:r>
        <w:rPr>
          <w:rFonts w:hint="eastAsia"/>
          <w:highlight w:val="none"/>
          <w:lang w:val="en-US" w:eastAsia="zh-CN"/>
        </w:rPr>
        <w:t>七</w:t>
      </w:r>
      <w:r>
        <w:rPr>
          <w:rFonts w:hint="eastAsia"/>
          <w:highlight w:val="none"/>
          <w:lang w:eastAsia="zh-CN"/>
        </w:rPr>
        <w:t>）向符合规定的工商业用户提供代理购电服务；</w:t>
      </w:r>
    </w:p>
    <w:p w14:paraId="79AF4513">
      <w:pPr>
        <w:shd w:val="clear"/>
        <w:ind w:firstLine="640"/>
        <w:rPr>
          <w:rFonts w:hint="eastAsia"/>
          <w:highlight w:val="none"/>
        </w:rPr>
      </w:pPr>
      <w:r>
        <w:rPr>
          <w:rFonts w:hint="eastAsia"/>
          <w:highlight w:val="none"/>
        </w:rPr>
        <w:t>（</w:t>
      </w:r>
      <w:r>
        <w:rPr>
          <w:rFonts w:hint="eastAsia"/>
          <w:highlight w:val="none"/>
          <w:lang w:val="en-US" w:eastAsia="zh-CN"/>
        </w:rPr>
        <w:t>八</w:t>
      </w:r>
      <w:r>
        <w:rPr>
          <w:rFonts w:hint="eastAsia"/>
          <w:highlight w:val="none"/>
        </w:rPr>
        <w:t>）按规定与售电公司签订结算协议，按协议与售电公司开展损益结算；</w:t>
      </w:r>
    </w:p>
    <w:p w14:paraId="23765E12">
      <w:pPr>
        <w:ind w:firstLine="640"/>
        <w:rPr>
          <w:rFonts w:hint="eastAsia"/>
          <w:highlight w:val="none"/>
        </w:rPr>
      </w:pPr>
      <w:r>
        <w:rPr>
          <w:rFonts w:hint="eastAsia"/>
          <w:highlight w:val="none"/>
          <w:lang w:eastAsia="zh-CN"/>
        </w:rPr>
        <w:t>（</w:t>
      </w:r>
      <w:r>
        <w:rPr>
          <w:rFonts w:hint="eastAsia"/>
          <w:highlight w:val="none"/>
          <w:lang w:val="en-US" w:eastAsia="zh-CN"/>
        </w:rPr>
        <w:t>九</w:t>
      </w:r>
      <w:r>
        <w:rPr>
          <w:rFonts w:hint="eastAsia"/>
          <w:highlight w:val="none"/>
          <w:lang w:eastAsia="zh-CN"/>
        </w:rPr>
        <w:t>）</w:t>
      </w:r>
      <w:r>
        <w:rPr>
          <w:rFonts w:hint="eastAsia"/>
          <w:highlight w:val="none"/>
        </w:rPr>
        <w:t>根据现货市场价格信号反映的阻塞情况，加强电网建设；</w:t>
      </w:r>
    </w:p>
    <w:p w14:paraId="00177B23">
      <w:pPr>
        <w:shd w:val="clear"/>
        <w:ind w:firstLine="640"/>
        <w:rPr>
          <w:highlight w:val="none"/>
        </w:rPr>
      </w:pPr>
      <w:r>
        <w:rPr>
          <w:rFonts w:hint="eastAsia"/>
          <w:highlight w:val="none"/>
        </w:rPr>
        <w:t>（</w:t>
      </w:r>
      <w:r>
        <w:rPr>
          <w:rFonts w:hint="eastAsia"/>
          <w:highlight w:val="none"/>
          <w:lang w:val="en-US" w:eastAsia="zh-CN"/>
        </w:rPr>
        <w:t>十</w:t>
      </w:r>
      <w:r>
        <w:rPr>
          <w:rFonts w:hint="eastAsia"/>
          <w:highlight w:val="none"/>
        </w:rPr>
        <w:t>）依法依规履行清洁能源消纳责任；</w:t>
      </w:r>
    </w:p>
    <w:p w14:paraId="4D7CEBE6">
      <w:pPr>
        <w:shd w:val="clear"/>
        <w:ind w:firstLine="640"/>
        <w:rPr>
          <w:highlight w:val="none"/>
        </w:rPr>
      </w:pPr>
      <w:r>
        <w:rPr>
          <w:rFonts w:hint="eastAsia"/>
          <w:highlight w:val="none"/>
        </w:rPr>
        <w:t>（</w:t>
      </w:r>
      <w:r>
        <w:rPr>
          <w:rFonts w:hint="eastAsia"/>
          <w:highlight w:val="none"/>
          <w:lang w:val="en-US" w:eastAsia="zh-CN"/>
        </w:rPr>
        <w:t>十一</w:t>
      </w:r>
      <w:r>
        <w:rPr>
          <w:rFonts w:hint="eastAsia"/>
          <w:highlight w:val="none"/>
        </w:rPr>
        <w:t>）法律法规规定的其他权利和义务。</w:t>
      </w:r>
    </w:p>
    <w:p w14:paraId="4545A253">
      <w:pPr>
        <w:numPr>
          <w:ilvl w:val="0"/>
          <w:numId w:val="4"/>
        </w:numPr>
        <w:shd w:val="clear"/>
        <w:ind w:firstLine="640"/>
        <w:rPr>
          <w:highlight w:val="none"/>
        </w:rPr>
      </w:pPr>
      <w:r>
        <w:rPr>
          <w:rFonts w:hint="eastAsia"/>
          <w:highlight w:val="none"/>
        </w:rPr>
        <w:t>电力交易机构的权利和义务：</w:t>
      </w:r>
    </w:p>
    <w:p w14:paraId="6872F2EE">
      <w:pPr>
        <w:shd w:val="clear"/>
        <w:ind w:firstLine="640"/>
        <w:rPr>
          <w:highlight w:val="none"/>
        </w:rPr>
      </w:pPr>
      <w:r>
        <w:rPr>
          <w:rFonts w:hint="eastAsia"/>
          <w:highlight w:val="none"/>
        </w:rPr>
        <w:t>（一）参与拟定相应电力交易</w:t>
      </w:r>
      <w:r>
        <w:rPr>
          <w:rFonts w:hint="eastAsia"/>
          <w:highlight w:val="none"/>
          <w:lang w:val="en-US" w:eastAsia="zh-CN"/>
        </w:rPr>
        <w:t>规则</w:t>
      </w:r>
      <w:r>
        <w:rPr>
          <w:rFonts w:hint="eastAsia"/>
          <w:highlight w:val="none"/>
        </w:rPr>
        <w:t>；</w:t>
      </w:r>
    </w:p>
    <w:p w14:paraId="5CCE8310">
      <w:pPr>
        <w:shd w:val="clear"/>
        <w:ind w:firstLine="640"/>
        <w:rPr>
          <w:highlight w:val="none"/>
        </w:rPr>
      </w:pPr>
      <w:r>
        <w:rPr>
          <w:rFonts w:hint="eastAsia"/>
          <w:highlight w:val="none"/>
        </w:rPr>
        <w:t>（二）向经营主体提供市场注册、信息变更和退出等相关服务；</w:t>
      </w:r>
    </w:p>
    <w:p w14:paraId="4A603A6C">
      <w:pPr>
        <w:shd w:val="clear"/>
        <w:ind w:firstLine="640"/>
        <w:rPr>
          <w:rFonts w:hint="eastAsia" w:eastAsia="仿宋"/>
          <w:highlight w:val="none"/>
          <w:lang w:eastAsia="zh-CN"/>
        </w:rPr>
      </w:pPr>
      <w:r>
        <w:rPr>
          <w:rFonts w:hint="eastAsia"/>
          <w:highlight w:val="none"/>
        </w:rPr>
        <w:t>（三）坚持公平、公正、公开原则，按照规则组织电力市场交易，并负责交易合同的汇总管理</w:t>
      </w:r>
      <w:r>
        <w:rPr>
          <w:rFonts w:hint="eastAsia"/>
          <w:highlight w:val="none"/>
          <w:lang w:eastAsia="zh-CN"/>
        </w:rPr>
        <w:t>，负责现货交易申报和信息发布；</w:t>
      </w:r>
    </w:p>
    <w:p w14:paraId="71F0C335">
      <w:pPr>
        <w:shd w:val="clear"/>
        <w:ind w:firstLine="640"/>
        <w:rPr>
          <w:highlight w:val="none"/>
        </w:rPr>
      </w:pPr>
      <w:r>
        <w:rPr>
          <w:rFonts w:hint="eastAsia"/>
          <w:highlight w:val="none"/>
        </w:rPr>
        <w:t>（四）提供电力交易结算依据以及相关服务，按照规定收取交易服务费；</w:t>
      </w:r>
    </w:p>
    <w:p w14:paraId="53890E6A">
      <w:pPr>
        <w:shd w:val="clear"/>
        <w:ind w:firstLine="640"/>
        <w:rPr>
          <w:highlight w:val="none"/>
        </w:rPr>
      </w:pPr>
      <w:r>
        <w:rPr>
          <w:rFonts w:hint="eastAsia"/>
          <w:highlight w:val="none"/>
        </w:rPr>
        <w:t>（五）建设、运营和维护电力市场化交易技术支持系统（以下简称“电力交易平台”）；</w:t>
      </w:r>
    </w:p>
    <w:p w14:paraId="55B9D937">
      <w:pPr>
        <w:shd w:val="clear"/>
        <w:ind w:firstLine="640"/>
        <w:rPr>
          <w:highlight w:val="none"/>
        </w:rPr>
      </w:pPr>
      <w:r>
        <w:rPr>
          <w:rFonts w:hint="eastAsia"/>
          <w:highlight w:val="none"/>
        </w:rPr>
        <w:t>（六）按照国家信息安全与保密、电力市场信息披露和报送等有关规定披露和发布信息，承担保密义务；提供信息发布平台，为经营主体信息发布提供便利，获得市场成员提供的支撑现货市场交易以及服务需求的数据等；制定信息披露标准格式，及时开放数据接口；</w:t>
      </w:r>
    </w:p>
    <w:p w14:paraId="0CACBDB0">
      <w:pPr>
        <w:shd w:val="clear"/>
        <w:ind w:firstLine="640"/>
        <w:rPr>
          <w:highlight w:val="none"/>
        </w:rPr>
      </w:pPr>
      <w:r>
        <w:rPr>
          <w:rFonts w:hint="eastAsia"/>
          <w:highlight w:val="none"/>
        </w:rPr>
        <w:t>（七）配合</w:t>
      </w:r>
      <w:r>
        <w:rPr>
          <w:rFonts w:hint="eastAsia" w:cs="Times New Roman"/>
          <w:highlight w:val="none"/>
        </w:rPr>
        <w:t>云南能源监管办和云南省</w:t>
      </w:r>
      <w:r>
        <w:rPr>
          <w:rFonts w:hint="eastAsia" w:cs="Times New Roman"/>
          <w:highlight w:val="none"/>
          <w:lang w:eastAsia="zh-CN"/>
        </w:rPr>
        <w:t>政府主管部门</w:t>
      </w:r>
      <w:r>
        <w:rPr>
          <w:rFonts w:hint="eastAsia"/>
          <w:highlight w:val="none"/>
        </w:rPr>
        <w:t>对市场规则进行分析评估，提出修改建议；</w:t>
      </w:r>
    </w:p>
    <w:p w14:paraId="1EAC70FA">
      <w:pPr>
        <w:shd w:val="clear"/>
        <w:ind w:firstLine="640"/>
        <w:rPr>
          <w:spacing w:val="-8"/>
          <w:highlight w:val="none"/>
        </w:rPr>
      </w:pPr>
      <w:r>
        <w:rPr>
          <w:rFonts w:hint="eastAsia"/>
          <w:highlight w:val="none"/>
        </w:rPr>
        <w:t>（八）监测和分析市场运行情况，</w:t>
      </w:r>
      <w:r>
        <w:rPr>
          <w:rFonts w:hint="eastAsia"/>
          <w:spacing w:val="-8"/>
          <w:highlight w:val="none"/>
        </w:rPr>
        <w:t>依法依规干预市场，预防市场风险，</w:t>
      </w:r>
      <w:r>
        <w:rPr>
          <w:rFonts w:hint="eastAsia" w:ascii="仿宋" w:hAnsi="仿宋" w:eastAsia="仿宋" w:cs="仿宋"/>
          <w:spacing w:val="-8"/>
          <w:highlight w:val="none"/>
        </w:rPr>
        <w:t>并</w:t>
      </w:r>
      <w:r>
        <w:rPr>
          <w:rFonts w:hint="eastAsia" w:ascii="仿宋" w:hAnsi="仿宋" w:cs="仿宋"/>
          <w:spacing w:val="-8"/>
          <w:highlight w:val="none"/>
          <w:lang w:eastAsia="zh-CN"/>
        </w:rPr>
        <w:t>及时向云南能源监管办、云南省能源局和云南省发展改革委报告</w:t>
      </w:r>
      <w:r>
        <w:rPr>
          <w:rFonts w:hint="eastAsia" w:ascii="仿宋" w:hAnsi="仿宋" w:eastAsia="仿宋" w:cs="仿宋"/>
          <w:spacing w:val="-8"/>
          <w:highlight w:val="none"/>
        </w:rPr>
        <w:t>；</w:t>
      </w:r>
    </w:p>
    <w:p w14:paraId="7D356322">
      <w:pPr>
        <w:shd w:val="clear"/>
        <w:ind w:firstLine="640"/>
        <w:rPr>
          <w:highlight w:val="none"/>
        </w:rPr>
      </w:pPr>
      <w:r>
        <w:rPr>
          <w:rFonts w:hint="eastAsia"/>
          <w:highlight w:val="none"/>
        </w:rPr>
        <w:t>（九）对</w:t>
      </w:r>
      <w:r>
        <w:rPr>
          <w:rFonts w:hint="eastAsia"/>
          <w:highlight w:val="none"/>
          <w:lang w:eastAsia="zh-CN"/>
        </w:rPr>
        <w:t>经营主体</w:t>
      </w:r>
      <w:r>
        <w:rPr>
          <w:rFonts w:hint="eastAsia"/>
          <w:highlight w:val="none"/>
        </w:rPr>
        <w:t>违反交易规则、扰乱市场秩序等违规行为进行报告并配合调查；</w:t>
      </w:r>
    </w:p>
    <w:p w14:paraId="06846CCC">
      <w:pPr>
        <w:shd w:val="clear"/>
        <w:ind w:firstLine="640"/>
        <w:rPr>
          <w:highlight w:val="none"/>
        </w:rPr>
      </w:pPr>
      <w:r>
        <w:rPr>
          <w:rFonts w:hint="eastAsia"/>
          <w:highlight w:val="none"/>
        </w:rPr>
        <w:t>（十）法律法规规定的其他权利和义务。</w:t>
      </w:r>
    </w:p>
    <w:p w14:paraId="70AF855D">
      <w:pPr>
        <w:numPr>
          <w:ilvl w:val="0"/>
          <w:numId w:val="4"/>
        </w:numPr>
        <w:shd w:val="clear"/>
        <w:ind w:firstLine="640"/>
        <w:rPr>
          <w:highlight w:val="none"/>
        </w:rPr>
      </w:pPr>
      <w:r>
        <w:rPr>
          <w:rFonts w:hint="eastAsia"/>
          <w:highlight w:val="none"/>
        </w:rPr>
        <w:t>电力调度机构的权利和义务：</w:t>
      </w:r>
    </w:p>
    <w:p w14:paraId="4CD9CE77">
      <w:pPr>
        <w:shd w:val="clear"/>
        <w:ind w:firstLine="640"/>
        <w:rPr>
          <w:highlight w:val="none"/>
        </w:rPr>
      </w:pPr>
      <w:r>
        <w:rPr>
          <w:rFonts w:hint="eastAsia"/>
          <w:highlight w:val="none"/>
        </w:rPr>
        <w:t>（一）组织电力现货交易，负责安全校核</w:t>
      </w:r>
      <w:r>
        <w:rPr>
          <w:rFonts w:hint="eastAsia"/>
          <w:highlight w:val="none"/>
          <w:lang w:eastAsia="zh-CN"/>
        </w:rPr>
        <w:t>、市场监测和风险防控</w:t>
      </w:r>
      <w:r>
        <w:rPr>
          <w:rFonts w:hint="eastAsia"/>
          <w:highlight w:val="none"/>
        </w:rPr>
        <w:t>；</w:t>
      </w:r>
    </w:p>
    <w:p w14:paraId="02F20918">
      <w:pPr>
        <w:shd w:val="clear"/>
        <w:ind w:firstLine="640"/>
        <w:rPr>
          <w:highlight w:val="none"/>
        </w:rPr>
      </w:pPr>
      <w:r>
        <w:rPr>
          <w:rFonts w:hint="eastAsia"/>
          <w:highlight w:val="none"/>
        </w:rPr>
        <w:t>（二）按照调度规程实施电力调度，负责系统实时平衡，保障电网安全稳定运行；</w:t>
      </w:r>
    </w:p>
    <w:p w14:paraId="4BD741BE">
      <w:pPr>
        <w:shd w:val="clear"/>
        <w:ind w:firstLine="640"/>
        <w:rPr>
          <w:spacing w:val="-4"/>
          <w:highlight w:val="none"/>
        </w:rPr>
      </w:pPr>
      <w:r>
        <w:rPr>
          <w:rFonts w:hint="eastAsia"/>
          <w:highlight w:val="none"/>
        </w:rPr>
        <w:t>（三）向电力交易机构提供安全约束边界和必开机组组合、必开机组发电量需求、</w:t>
      </w:r>
      <w:r>
        <w:rPr>
          <w:rFonts w:hint="eastAsia"/>
          <w:spacing w:val="-4"/>
          <w:highlight w:val="none"/>
        </w:rPr>
        <w:t>影响限额的停电检修、关键通道可用输电容量等数据，配合电力交易机构履行市场运营职能；</w:t>
      </w:r>
    </w:p>
    <w:p w14:paraId="00A4DF42">
      <w:pPr>
        <w:shd w:val="clear"/>
        <w:ind w:firstLine="640"/>
        <w:rPr>
          <w:highlight w:val="none"/>
        </w:rPr>
      </w:pPr>
      <w:r>
        <w:rPr>
          <w:rFonts w:hint="eastAsia"/>
          <w:highlight w:val="none"/>
        </w:rPr>
        <w:t>（四）合理安排电网运行方式，保障电力交易结果的执行（因电力调度机构自身原因造成实际执行与交易结果偏差时，由电力调度机构所在电网企业承担相应的经济责任），保障电力市场正常运行；</w:t>
      </w:r>
    </w:p>
    <w:p w14:paraId="69112C71">
      <w:pPr>
        <w:shd w:val="clear"/>
        <w:ind w:firstLine="640"/>
        <w:rPr>
          <w:rFonts w:hint="eastAsia"/>
          <w:highlight w:val="none"/>
        </w:rPr>
      </w:pPr>
      <w:r>
        <w:rPr>
          <w:rFonts w:hint="eastAsia"/>
          <w:highlight w:val="none"/>
        </w:rPr>
        <w:t>（五）按照信息披露和报送等有关规定披露和提供电网运行的相关信息，提供支撑市场化交易以及市场服务所需的相关数据，按照国家网络安全有关规定与电力交易机构进行数据交互，承担保密义务；</w:t>
      </w:r>
    </w:p>
    <w:p w14:paraId="44279EBD">
      <w:pPr>
        <w:shd w:val="clear"/>
        <w:ind w:firstLine="640"/>
        <w:rPr>
          <w:rFonts w:hint="eastAsia" w:eastAsia="仿宋"/>
          <w:highlight w:val="none"/>
          <w:lang w:eastAsia="zh-CN"/>
        </w:rPr>
      </w:pPr>
      <w:r>
        <w:rPr>
          <w:rFonts w:hint="eastAsia"/>
          <w:highlight w:val="none"/>
          <w:lang w:eastAsia="zh-CN"/>
        </w:rPr>
        <w:t>（</w:t>
      </w:r>
      <w:r>
        <w:rPr>
          <w:rFonts w:hint="eastAsia"/>
          <w:highlight w:val="none"/>
          <w:lang w:val="en-US" w:eastAsia="zh-CN"/>
        </w:rPr>
        <w:t>六</w:t>
      </w:r>
      <w:r>
        <w:rPr>
          <w:rFonts w:hint="eastAsia"/>
          <w:highlight w:val="none"/>
          <w:lang w:eastAsia="zh-CN"/>
        </w:rPr>
        <w:t>）开展市场分析和运营监控，履行相应市场风险防范职责，依法依规实施市场干预，并向</w:t>
      </w:r>
      <w:r>
        <w:rPr>
          <w:rFonts w:hint="eastAsia"/>
          <w:highlight w:val="none"/>
          <w:lang w:val="en-US" w:eastAsia="zh-CN"/>
        </w:rPr>
        <w:t>云南能源监管办</w:t>
      </w:r>
      <w:r>
        <w:rPr>
          <w:rFonts w:hint="eastAsia"/>
          <w:highlight w:val="none"/>
          <w:lang w:eastAsia="zh-CN"/>
        </w:rPr>
        <w:t>、</w:t>
      </w:r>
      <w:r>
        <w:rPr>
          <w:rFonts w:hint="eastAsia"/>
          <w:highlight w:val="none"/>
          <w:lang w:val="en-US" w:eastAsia="zh-CN"/>
        </w:rPr>
        <w:t>云南省能源局和云南省发展改革委</w:t>
      </w:r>
      <w:r>
        <w:rPr>
          <w:rFonts w:hint="eastAsia"/>
          <w:highlight w:val="none"/>
          <w:lang w:eastAsia="zh-CN"/>
        </w:rPr>
        <w:t>报告，按照规则规定实施的市场干预予以免责；</w:t>
      </w:r>
    </w:p>
    <w:p w14:paraId="6144187C">
      <w:pPr>
        <w:shd w:val="clear"/>
        <w:ind w:firstLine="640"/>
        <w:rPr>
          <w:highlight w:val="none"/>
        </w:rPr>
      </w:pPr>
      <w:r>
        <w:rPr>
          <w:rFonts w:hint="eastAsia"/>
          <w:highlight w:val="none"/>
        </w:rPr>
        <w:t>（</w:t>
      </w:r>
      <w:r>
        <w:rPr>
          <w:rFonts w:hint="eastAsia"/>
          <w:highlight w:val="none"/>
          <w:lang w:val="en-US" w:eastAsia="zh-CN"/>
        </w:rPr>
        <w:t>七</w:t>
      </w:r>
      <w:r>
        <w:rPr>
          <w:rFonts w:hint="eastAsia"/>
          <w:highlight w:val="none"/>
        </w:rPr>
        <w:t>）法律法规规定的其他权利和义务。</w:t>
      </w:r>
    </w:p>
    <w:p w14:paraId="7B307E60">
      <w:pPr>
        <w:pStyle w:val="4"/>
        <w:shd w:val="clear"/>
        <w:rPr>
          <w:rFonts w:hint="eastAsia" w:ascii="Times New Roman" w:hAnsi="Times New Roman" w:eastAsia="楷体" w:cs="Times New Roman"/>
          <w:color w:val="000000" w:themeColor="text1"/>
          <w:kern w:val="2"/>
          <w:szCs w:val="24"/>
          <w:highlight w:val="none"/>
          <w14:textFill>
            <w14:solidFill>
              <w14:schemeClr w14:val="tx1"/>
            </w14:solidFill>
          </w14:textFill>
        </w:rPr>
      </w:pPr>
      <w:r>
        <w:rPr>
          <w:rFonts w:hint="eastAsia" w:ascii="Times New Roman" w:hAnsi="Times New Roman" w:eastAsia="楷体" w:cs="Times New Roman"/>
          <w:color w:val="000000" w:themeColor="text1"/>
          <w:kern w:val="2"/>
          <w:szCs w:val="24"/>
          <w:highlight w:val="none"/>
          <w14:textFill>
            <w14:solidFill>
              <w14:schemeClr w14:val="tx1"/>
            </w14:solidFill>
          </w14:textFill>
        </w:rPr>
        <w:t>第</w:t>
      </w:r>
      <w:r>
        <w:rPr>
          <w:rFonts w:hint="eastAsia" w:ascii="Times New Roman" w:hAnsi="Times New Roman" w:eastAsia="楷体" w:cs="Times New Roman"/>
          <w:color w:val="000000" w:themeColor="text1"/>
          <w:kern w:val="2"/>
          <w:szCs w:val="24"/>
          <w:highlight w:val="none"/>
          <w:lang w:val="en-US" w:eastAsia="zh-CN"/>
          <w14:textFill>
            <w14:solidFill>
              <w14:schemeClr w14:val="tx1"/>
            </w14:solidFill>
          </w14:textFill>
        </w:rPr>
        <w:t xml:space="preserve">二节  </w:t>
      </w:r>
      <w:r>
        <w:rPr>
          <w:rFonts w:hint="eastAsia" w:ascii="Times New Roman" w:hAnsi="Times New Roman" w:eastAsia="楷体" w:cs="Times New Roman"/>
          <w:color w:val="000000" w:themeColor="text1"/>
          <w:kern w:val="2"/>
          <w:szCs w:val="24"/>
          <w:highlight w:val="none"/>
          <w14:textFill>
            <w14:solidFill>
              <w14:schemeClr w14:val="tx1"/>
            </w14:solidFill>
          </w14:textFill>
        </w:rPr>
        <w:t>市场注册、变更与注销</w:t>
      </w:r>
    </w:p>
    <w:p w14:paraId="5C58F0BE">
      <w:pPr>
        <w:numPr>
          <w:ilvl w:val="0"/>
          <w:numId w:val="4"/>
        </w:numPr>
        <w:ind w:firstLine="640"/>
        <w:rPr>
          <w:rFonts w:hint="eastAsia"/>
          <w:color w:val="auto"/>
          <w:szCs w:val="32"/>
          <w:highlight w:val="none"/>
        </w:rPr>
      </w:pPr>
      <w:r>
        <w:rPr>
          <w:rFonts w:hint="eastAsia"/>
          <w:highlight w:val="none"/>
        </w:rPr>
        <w:t>市场注册业务包括注册、信息变更、市场注销及零售用户与售电公司业务关系确定等。</w:t>
      </w:r>
    </w:p>
    <w:p w14:paraId="58591875">
      <w:pPr>
        <w:numPr>
          <w:ilvl w:val="0"/>
          <w:numId w:val="4"/>
        </w:numPr>
        <w:ind w:firstLine="640"/>
        <w:rPr>
          <w:rFonts w:hint="eastAsia"/>
          <w:color w:val="auto"/>
          <w:szCs w:val="32"/>
          <w:highlight w:val="none"/>
        </w:rPr>
      </w:pPr>
      <w:r>
        <w:rPr>
          <w:rFonts w:hint="eastAsia" w:ascii="Times New Roman" w:hAnsi="Times New Roman" w:eastAsia="仿宋" w:cs="宋体"/>
          <w:color w:val="auto"/>
          <w:sz w:val="32"/>
          <w:szCs w:val="32"/>
          <w:highlight w:val="none"/>
        </w:rPr>
        <w:t>电力交易机构具体负责电力市场注册管理工作。</w:t>
      </w:r>
      <w:r>
        <w:rPr>
          <w:rFonts w:hint="eastAsia"/>
          <w:color w:val="auto"/>
          <w:szCs w:val="32"/>
          <w:highlight w:val="none"/>
        </w:rPr>
        <w:t>建设并运维电力交易平台市场注册业务功能，依法依规披露市场注册业务的相关信息</w:t>
      </w:r>
      <w:r>
        <w:rPr>
          <w:rFonts w:hint="eastAsia" w:ascii="Times New Roman" w:hAnsi="Times New Roman" w:eastAsia="仿宋" w:cs="宋体"/>
          <w:color w:val="auto"/>
          <w:sz w:val="32"/>
          <w:szCs w:val="32"/>
          <w:highlight w:val="none"/>
        </w:rPr>
        <w:t>。</w:t>
      </w:r>
    </w:p>
    <w:p w14:paraId="5114F662">
      <w:pPr>
        <w:numPr>
          <w:ilvl w:val="0"/>
          <w:numId w:val="4"/>
        </w:numPr>
        <w:shd w:val="clear"/>
        <w:ind w:firstLine="640"/>
        <w:rPr>
          <w:rFonts w:hint="eastAsia"/>
          <w:color w:val="auto"/>
          <w:szCs w:val="32"/>
          <w:highlight w:val="none"/>
        </w:rPr>
      </w:pPr>
      <w:r>
        <w:rPr>
          <w:rFonts w:hint="eastAsia"/>
          <w:color w:val="auto"/>
          <w:szCs w:val="32"/>
          <w:highlight w:val="none"/>
        </w:rPr>
        <w:t>经营主体应当是财务独立核算、能够独立承担民事责任的企业、经法人单位授权的内部核算主体、个体工商户、执行工商业电价或具有分布式电源的自然人等民事主体，提供有效身份证明证件及相关注册材料，可办理市场注册业务；若存在较严重的不良信用记录或者曾作出虚假承诺等情形的经营主体，在修复后方可办理市场注册业务。</w:t>
      </w:r>
    </w:p>
    <w:p w14:paraId="11A33AE8">
      <w:pPr>
        <w:numPr>
          <w:ilvl w:val="0"/>
          <w:numId w:val="4"/>
        </w:numPr>
        <w:shd w:val="clear"/>
        <w:ind w:firstLine="640"/>
        <w:rPr>
          <w:highlight w:val="none"/>
        </w:rPr>
      </w:pPr>
      <w:r>
        <w:rPr>
          <w:rFonts w:hint="eastAsia"/>
          <w:highlight w:val="none"/>
        </w:rPr>
        <w:t>市场</w:t>
      </w:r>
      <w:r>
        <w:rPr>
          <w:rFonts w:hint="eastAsia"/>
          <w:highlight w:val="none"/>
          <w:lang w:val="en-US" w:eastAsia="zh-CN"/>
        </w:rPr>
        <w:t>注册</w:t>
      </w:r>
      <w:r>
        <w:rPr>
          <w:rFonts w:hint="eastAsia"/>
          <w:highlight w:val="none"/>
        </w:rPr>
        <w:t>基本条件：</w:t>
      </w:r>
    </w:p>
    <w:p w14:paraId="6FE27144">
      <w:pPr>
        <w:numPr>
          <w:ilvl w:val="255"/>
          <w:numId w:val="0"/>
        </w:numPr>
        <w:shd w:val="clear"/>
        <w:ind w:firstLine="640" w:firstLineChars="200"/>
        <w:rPr>
          <w:highlight w:val="none"/>
        </w:rPr>
      </w:pPr>
      <w:r>
        <w:rPr>
          <w:rFonts w:hint="eastAsia"/>
          <w:highlight w:val="none"/>
        </w:rPr>
        <w:t>（一）电网企业在电力交易机构履行相关注册手续后，为暂未直接从电力市场购电的工商业用户提供代理购电服务。</w:t>
      </w:r>
    </w:p>
    <w:p w14:paraId="222E292A">
      <w:pPr>
        <w:keepNext w:val="0"/>
        <w:keepLines w:val="0"/>
        <w:widowControl/>
        <w:suppressLineNumbers w:val="0"/>
        <w:pBdr>
          <w:top w:val="none" w:color="auto" w:sz="0" w:space="0"/>
          <w:left w:val="none" w:color="auto" w:sz="0" w:space="0"/>
          <w:right w:val="none" w:color="auto" w:sz="0" w:space="0"/>
        </w:pBdr>
        <w:shd w:val="clear" w:fill="FFFFFF"/>
        <w:spacing w:before="225" w:beforeAutospacing="0" w:after="0" w:afterAutospacing="0" w:line="450" w:lineRule="atLeast"/>
        <w:ind w:left="0" w:right="0" w:firstLine="640" w:firstLineChars="0"/>
        <w:jc w:val="left"/>
        <w:rPr>
          <w:rFonts w:hint="eastAsia" w:ascii="Times New Roman" w:hAnsi="Times New Roman" w:eastAsia="仿宋" w:cs="宋体"/>
          <w:i w:val="0"/>
          <w:iCs w:val="0"/>
          <w:caps w:val="0"/>
          <w:spacing w:val="0"/>
          <w:sz w:val="32"/>
          <w:szCs w:val="24"/>
          <w:highlight w:val="none"/>
        </w:rPr>
      </w:pPr>
      <w:r>
        <w:rPr>
          <w:rFonts w:hint="eastAsia"/>
          <w:highlight w:val="none"/>
        </w:rPr>
        <w:t>（二）发电企业</w:t>
      </w:r>
      <w:r>
        <w:rPr>
          <w:rFonts w:hint="eastAsia"/>
          <w:highlight w:val="none"/>
          <w:lang w:eastAsia="zh-CN"/>
        </w:rPr>
        <w:t>、</w:t>
      </w:r>
      <w:r>
        <w:rPr>
          <w:rFonts w:hint="eastAsia"/>
          <w:highlight w:val="none"/>
          <w:lang w:val="en-US" w:eastAsia="zh-CN"/>
        </w:rPr>
        <w:t>电力</w:t>
      </w:r>
      <w:r>
        <w:rPr>
          <w:rFonts w:hint="eastAsia"/>
          <w:highlight w:val="none"/>
        </w:rPr>
        <w:t>用户</w:t>
      </w:r>
      <w:r>
        <w:rPr>
          <w:rFonts w:hint="eastAsia"/>
          <w:highlight w:val="none"/>
          <w:lang w:eastAsia="zh-CN"/>
        </w:rPr>
        <w:t>、</w:t>
      </w:r>
      <w:r>
        <w:rPr>
          <w:rFonts w:hint="eastAsia" w:ascii="Times New Roman" w:hAnsi="Times New Roman" w:eastAsia="仿宋" w:cs="宋体"/>
          <w:i w:val="0"/>
          <w:iCs w:val="0"/>
          <w:caps w:val="0"/>
          <w:spacing w:val="0"/>
          <w:sz w:val="32"/>
          <w:szCs w:val="24"/>
          <w:highlight w:val="none"/>
          <w:shd w:val="clear"/>
        </w:rPr>
        <w:t>售电公司</w:t>
      </w:r>
      <w:r>
        <w:rPr>
          <w:rFonts w:hint="eastAsia"/>
          <w:highlight w:val="none"/>
          <w:lang w:eastAsia="zh-CN"/>
        </w:rPr>
        <w:t>、</w:t>
      </w:r>
      <w:r>
        <w:rPr>
          <w:rFonts w:hint="eastAsia" w:ascii="Times New Roman" w:hAnsi="Times New Roman" w:eastAsia="仿宋" w:cs="宋体"/>
          <w:i w:val="0"/>
          <w:iCs w:val="0"/>
          <w:caps w:val="0"/>
          <w:spacing w:val="0"/>
          <w:sz w:val="32"/>
          <w:szCs w:val="24"/>
          <w:highlight w:val="none"/>
          <w:shd w:val="clear"/>
        </w:rPr>
        <w:t>新型储能企业</w:t>
      </w:r>
      <w:r>
        <w:rPr>
          <w:rFonts w:hint="eastAsia" w:cs="宋体"/>
          <w:i w:val="0"/>
          <w:iCs w:val="0"/>
          <w:caps w:val="0"/>
          <w:spacing w:val="0"/>
          <w:sz w:val="32"/>
          <w:szCs w:val="24"/>
          <w:highlight w:val="none"/>
          <w:shd w:val="clear"/>
          <w:lang w:eastAsia="zh-CN"/>
        </w:rPr>
        <w:t>、</w:t>
      </w:r>
      <w:r>
        <w:rPr>
          <w:rFonts w:hint="eastAsia"/>
          <w:highlight w:val="none"/>
        </w:rPr>
        <w:t>虚拟电厂（含负荷聚合商）</w:t>
      </w:r>
      <w:r>
        <w:rPr>
          <w:rFonts w:hint="eastAsia"/>
          <w:highlight w:val="none"/>
          <w:lang w:eastAsia="zh-CN"/>
        </w:rPr>
        <w:t>、</w:t>
      </w:r>
      <w:r>
        <w:rPr>
          <w:rFonts w:hint="eastAsia"/>
          <w:highlight w:val="none"/>
        </w:rPr>
        <w:t>分布式电源</w:t>
      </w:r>
      <w:r>
        <w:rPr>
          <w:rFonts w:hint="eastAsia"/>
          <w:highlight w:val="none"/>
          <w:lang w:eastAsia="zh-CN"/>
        </w:rPr>
        <w:t>、</w:t>
      </w:r>
      <w:r>
        <w:rPr>
          <w:rFonts w:hint="eastAsia" w:ascii="Times New Roman" w:hAnsi="Times New Roman" w:eastAsia="仿宋" w:cs="宋体"/>
          <w:i w:val="0"/>
          <w:iCs w:val="0"/>
          <w:caps w:val="0"/>
          <w:spacing w:val="0"/>
          <w:sz w:val="32"/>
          <w:szCs w:val="24"/>
          <w:highlight w:val="none"/>
          <w:shd w:val="clear"/>
        </w:rPr>
        <w:t>电动汽车充电设施</w:t>
      </w:r>
      <w:r>
        <w:rPr>
          <w:rFonts w:hint="eastAsia" w:cs="宋体"/>
          <w:i w:val="0"/>
          <w:iCs w:val="0"/>
          <w:caps w:val="0"/>
          <w:spacing w:val="0"/>
          <w:sz w:val="32"/>
          <w:szCs w:val="24"/>
          <w:highlight w:val="none"/>
          <w:shd w:val="clear"/>
          <w:lang w:val="en-US" w:eastAsia="zh-CN"/>
        </w:rPr>
        <w:t>、</w:t>
      </w:r>
      <w:r>
        <w:rPr>
          <w:rFonts w:hint="eastAsia" w:ascii="Times New Roman" w:hAnsi="Times New Roman" w:eastAsia="仿宋" w:cs="宋体"/>
          <w:i w:val="0"/>
          <w:iCs w:val="0"/>
          <w:caps w:val="0"/>
          <w:spacing w:val="0"/>
          <w:sz w:val="32"/>
          <w:szCs w:val="24"/>
          <w:highlight w:val="none"/>
          <w:shd w:val="clear"/>
        </w:rPr>
        <w:t>智能微电网</w:t>
      </w:r>
      <w:r>
        <w:rPr>
          <w:rFonts w:hint="eastAsia" w:cs="宋体"/>
          <w:i w:val="0"/>
          <w:iCs w:val="0"/>
          <w:caps w:val="0"/>
          <w:spacing w:val="0"/>
          <w:sz w:val="32"/>
          <w:szCs w:val="24"/>
          <w:highlight w:val="none"/>
          <w:shd w:val="clear"/>
          <w:lang w:val="en-US" w:eastAsia="zh-CN"/>
        </w:rPr>
        <w:t>等</w:t>
      </w:r>
      <w:r>
        <w:rPr>
          <w:rFonts w:hint="eastAsia" w:ascii="Times New Roman" w:hAnsi="Times New Roman" w:eastAsia="仿宋" w:cs="宋体"/>
          <w:i w:val="0"/>
          <w:iCs w:val="0"/>
          <w:caps w:val="0"/>
          <w:spacing w:val="0"/>
          <w:sz w:val="32"/>
          <w:szCs w:val="24"/>
          <w:highlight w:val="none"/>
          <w:shd w:val="clear"/>
        </w:rPr>
        <w:t>经营主体</w:t>
      </w:r>
      <w:r>
        <w:rPr>
          <w:rFonts w:hint="eastAsia" w:cs="宋体"/>
          <w:i w:val="0"/>
          <w:iCs w:val="0"/>
          <w:caps w:val="0"/>
          <w:spacing w:val="0"/>
          <w:sz w:val="32"/>
          <w:szCs w:val="24"/>
          <w:highlight w:val="none"/>
          <w:shd w:val="clear"/>
          <w:lang w:eastAsia="zh-CN"/>
        </w:rPr>
        <w:t>按</w:t>
      </w:r>
      <w:r>
        <w:rPr>
          <w:rFonts w:hint="eastAsia" w:ascii="Times New Roman" w:hAnsi="Times New Roman" w:eastAsia="仿宋" w:cs="宋体"/>
          <w:i w:val="0"/>
          <w:iCs w:val="0"/>
          <w:caps w:val="0"/>
          <w:spacing w:val="0"/>
          <w:sz w:val="32"/>
          <w:szCs w:val="24"/>
          <w:highlight w:val="none"/>
          <w:shd w:val="clear"/>
        </w:rPr>
        <w:t>《电力市场注册基本规则》</w:t>
      </w:r>
      <w:r>
        <w:rPr>
          <w:rFonts w:hint="eastAsia" w:ascii="Times New Roman" w:hAnsi="Times New Roman" w:eastAsia="仿宋" w:cs="宋体"/>
          <w:i w:val="0"/>
          <w:iCs w:val="0"/>
          <w:caps w:val="0"/>
          <w:spacing w:val="0"/>
          <w:sz w:val="32"/>
          <w:szCs w:val="24"/>
          <w:highlight w:val="none"/>
          <w:shd w:val="clear"/>
          <w:lang w:val="en-US" w:eastAsia="zh-CN"/>
        </w:rPr>
        <w:t>明确的条件</w:t>
      </w:r>
      <w:r>
        <w:rPr>
          <w:rFonts w:hint="eastAsia"/>
          <w:highlight w:val="none"/>
        </w:rPr>
        <w:t>办理市场注册业务</w:t>
      </w:r>
      <w:r>
        <w:rPr>
          <w:rFonts w:hint="eastAsia" w:ascii="Times New Roman" w:hAnsi="Times New Roman" w:eastAsia="仿宋" w:cs="宋体"/>
          <w:i w:val="0"/>
          <w:iCs w:val="0"/>
          <w:caps w:val="0"/>
          <w:spacing w:val="0"/>
          <w:sz w:val="32"/>
          <w:szCs w:val="24"/>
          <w:highlight w:val="none"/>
          <w:shd w:val="clear"/>
        </w:rPr>
        <w:t>。</w:t>
      </w:r>
    </w:p>
    <w:p w14:paraId="453240F6">
      <w:pPr>
        <w:keepNext w:val="0"/>
        <w:keepLines w:val="0"/>
        <w:widowControl/>
        <w:numPr>
          <w:ilvl w:val="-1"/>
          <w:numId w:val="0"/>
        </w:numPr>
        <w:suppressLineNumbers w:val="0"/>
        <w:pBdr>
          <w:top w:val="none" w:color="auto" w:sz="0" w:space="0"/>
          <w:left w:val="none" w:color="auto" w:sz="0" w:space="0"/>
          <w:right w:val="none" w:color="auto" w:sz="0" w:space="0"/>
        </w:pBdr>
        <w:shd w:val="clear" w:fill="auto"/>
        <w:spacing w:before="0" w:beforeAutospacing="0" w:after="0" w:afterAutospacing="0" w:line="240" w:lineRule="auto"/>
        <w:ind w:left="0" w:leftChars="0" w:right="0" w:firstLine="640"/>
        <w:jc w:val="left"/>
        <w:rPr>
          <w:rFonts w:hint="eastAsia" w:cs="宋体"/>
          <w:i w:val="0"/>
          <w:iCs w:val="0"/>
          <w:caps w:val="0"/>
          <w:spacing w:val="0"/>
          <w:sz w:val="32"/>
          <w:szCs w:val="24"/>
          <w:highlight w:val="none"/>
          <w:shd w:val="clear"/>
          <w:lang w:eastAsia="zh-CN"/>
        </w:rPr>
      </w:pPr>
      <w:r>
        <w:rPr>
          <w:rFonts w:hint="eastAsia" w:cs="宋体"/>
          <w:i w:val="0"/>
          <w:iCs w:val="0"/>
          <w:caps w:val="0"/>
          <w:spacing w:val="0"/>
          <w:sz w:val="32"/>
          <w:szCs w:val="24"/>
          <w:highlight w:val="none"/>
          <w:shd w:val="clear"/>
          <w:lang w:eastAsia="zh-CN"/>
        </w:rPr>
        <w:t>（</w:t>
      </w:r>
      <w:r>
        <w:rPr>
          <w:rFonts w:hint="eastAsia" w:cs="宋体"/>
          <w:i w:val="0"/>
          <w:iCs w:val="0"/>
          <w:caps w:val="0"/>
          <w:spacing w:val="0"/>
          <w:sz w:val="32"/>
          <w:szCs w:val="24"/>
          <w:highlight w:val="none"/>
          <w:shd w:val="clear"/>
          <w:lang w:val="en-US" w:eastAsia="zh-CN"/>
        </w:rPr>
        <w:t>三</w:t>
      </w:r>
      <w:r>
        <w:rPr>
          <w:rFonts w:hint="eastAsia" w:cs="宋体"/>
          <w:i w:val="0"/>
          <w:iCs w:val="0"/>
          <w:caps w:val="0"/>
          <w:spacing w:val="0"/>
          <w:sz w:val="32"/>
          <w:szCs w:val="24"/>
          <w:highlight w:val="none"/>
          <w:shd w:val="clear"/>
          <w:lang w:eastAsia="zh-CN"/>
        </w:rPr>
        <w:t>）境外经营主体满足所在国家（地区）相关法律法规和政策规定，经我国政府主管部门核准，依法合规完成发/用电所需手续办理（具备政府批文、经营许可或完成云南电网发/用电系统接入等条件），可向电力交易机构提交注册申请，</w:t>
      </w:r>
      <w:r>
        <w:rPr>
          <w:rFonts w:hint="eastAsia" w:cs="宋体"/>
          <w:i w:val="0"/>
          <w:iCs w:val="0"/>
          <w:caps w:val="0"/>
          <w:spacing w:val="0"/>
          <w:sz w:val="32"/>
          <w:szCs w:val="24"/>
          <w:highlight w:val="none"/>
          <w:shd w:val="clear"/>
          <w:lang w:val="en-US" w:eastAsia="zh-CN"/>
        </w:rPr>
        <w:t>参照</w:t>
      </w:r>
      <w:r>
        <w:rPr>
          <w:rFonts w:hint="eastAsia" w:ascii="Times New Roman" w:hAnsi="Times New Roman" w:eastAsia="仿宋" w:cs="宋体"/>
          <w:i w:val="0"/>
          <w:iCs w:val="0"/>
          <w:caps w:val="0"/>
          <w:spacing w:val="0"/>
          <w:sz w:val="32"/>
          <w:szCs w:val="24"/>
          <w:highlight w:val="none"/>
          <w:shd w:val="clear"/>
        </w:rPr>
        <w:t>《电力市场注册基本规则》</w:t>
      </w:r>
      <w:r>
        <w:rPr>
          <w:rFonts w:hint="eastAsia" w:cs="宋体"/>
          <w:i w:val="0"/>
          <w:iCs w:val="0"/>
          <w:caps w:val="0"/>
          <w:spacing w:val="0"/>
          <w:sz w:val="32"/>
          <w:szCs w:val="24"/>
          <w:highlight w:val="none"/>
          <w:shd w:val="clear"/>
          <w:lang w:val="en-US" w:eastAsia="zh-CN"/>
        </w:rPr>
        <w:t>执行</w:t>
      </w:r>
      <w:r>
        <w:rPr>
          <w:rFonts w:hint="eastAsia" w:cs="宋体"/>
          <w:i w:val="0"/>
          <w:iCs w:val="0"/>
          <w:caps w:val="0"/>
          <w:spacing w:val="0"/>
          <w:sz w:val="32"/>
          <w:szCs w:val="24"/>
          <w:highlight w:val="none"/>
          <w:shd w:val="clear"/>
          <w:lang w:eastAsia="zh-CN"/>
        </w:rPr>
        <w:t>，其中境外发电企业注册时，可免予提交电力业务许可证（发电类）。</w:t>
      </w:r>
    </w:p>
    <w:p w14:paraId="7FB79BF1">
      <w:pPr>
        <w:keepNext w:val="0"/>
        <w:keepLines w:val="0"/>
        <w:widowControl/>
        <w:numPr>
          <w:ilvl w:val="-1"/>
          <w:numId w:val="0"/>
        </w:numPr>
        <w:suppressLineNumbers w:val="0"/>
        <w:pBdr>
          <w:top w:val="none" w:color="auto" w:sz="0" w:space="0"/>
          <w:left w:val="none" w:color="auto" w:sz="0" w:space="0"/>
          <w:right w:val="none" w:color="auto" w:sz="0" w:space="0"/>
        </w:pBdr>
        <w:shd w:val="clear" w:fill="auto"/>
        <w:spacing w:before="0" w:beforeAutospacing="0" w:after="0" w:afterAutospacing="0" w:line="240" w:lineRule="auto"/>
        <w:ind w:left="0" w:leftChars="0" w:right="0" w:firstLine="640"/>
        <w:jc w:val="left"/>
        <w:rPr>
          <w:rFonts w:hint="eastAsia" w:ascii="Times New Roman" w:hAnsi="Times New Roman" w:eastAsia="仿宋" w:cs="宋体"/>
          <w:i w:val="0"/>
          <w:iCs w:val="0"/>
          <w:caps w:val="0"/>
          <w:spacing w:val="0"/>
          <w:sz w:val="32"/>
          <w:szCs w:val="24"/>
          <w:highlight w:val="none"/>
        </w:rPr>
      </w:pPr>
      <w:r>
        <w:rPr>
          <w:rFonts w:hint="eastAsia" w:cs="宋体"/>
          <w:i w:val="0"/>
          <w:iCs w:val="0"/>
          <w:caps w:val="0"/>
          <w:spacing w:val="0"/>
          <w:sz w:val="32"/>
          <w:szCs w:val="24"/>
          <w:highlight w:val="none"/>
          <w:shd w:val="clear"/>
          <w:lang w:eastAsia="zh-CN"/>
        </w:rPr>
        <w:t>（</w:t>
      </w:r>
      <w:r>
        <w:rPr>
          <w:rFonts w:hint="eastAsia" w:cs="宋体"/>
          <w:i w:val="0"/>
          <w:iCs w:val="0"/>
          <w:caps w:val="0"/>
          <w:spacing w:val="0"/>
          <w:sz w:val="32"/>
          <w:szCs w:val="24"/>
          <w:highlight w:val="none"/>
          <w:shd w:val="clear"/>
          <w:lang w:val="en-US" w:eastAsia="zh-CN"/>
        </w:rPr>
        <w:t>四</w:t>
      </w:r>
      <w:r>
        <w:rPr>
          <w:rFonts w:hint="eastAsia" w:cs="宋体"/>
          <w:i w:val="0"/>
          <w:iCs w:val="0"/>
          <w:caps w:val="0"/>
          <w:spacing w:val="0"/>
          <w:sz w:val="32"/>
          <w:szCs w:val="24"/>
          <w:highlight w:val="none"/>
          <w:shd w:val="clear"/>
          <w:lang w:eastAsia="zh-CN"/>
        </w:rPr>
        <w:t>）</w:t>
      </w:r>
      <w:r>
        <w:rPr>
          <w:rFonts w:hint="eastAsia" w:ascii="Times New Roman" w:hAnsi="Times New Roman" w:eastAsia="仿宋" w:cs="宋体"/>
          <w:i w:val="0"/>
          <w:iCs w:val="0"/>
          <w:caps w:val="0"/>
          <w:spacing w:val="0"/>
          <w:sz w:val="32"/>
          <w:szCs w:val="24"/>
          <w:highlight w:val="none"/>
          <w:shd w:val="clear"/>
        </w:rPr>
        <w:t>当国家政策调整或者交易规则变化导致经营主体类型或进入电力市场基本条件发生变化时，按照全国统一标准进行调整。</w:t>
      </w:r>
    </w:p>
    <w:p w14:paraId="4F525EB3">
      <w:pPr>
        <w:numPr>
          <w:ilvl w:val="0"/>
          <w:numId w:val="4"/>
        </w:numPr>
        <w:shd w:val="clear"/>
        <w:ind w:leftChars="0" w:firstLine="640" w:firstLineChars="0"/>
        <w:rPr>
          <w:rFonts w:hint="eastAsia"/>
          <w:highlight w:val="none"/>
        </w:rPr>
      </w:pPr>
      <w:r>
        <w:rPr>
          <w:rFonts w:hint="eastAsia"/>
          <w:highlight w:val="none"/>
        </w:rPr>
        <w:t>经营主体市场注册按照申请、承诺、审查、公示、生效的流程办理。经营主体应提交身份认证、联系方式等信息以及相关支撑性材料，签订入市协议等。售电公司市场注册条件和流程按照《售电公司管理办法》规定执行，虚拟电厂（含负荷聚合商）初期参照《售电公司管理办法》执行。</w:t>
      </w:r>
    </w:p>
    <w:p w14:paraId="7317C99A">
      <w:pPr>
        <w:numPr>
          <w:ilvl w:val="0"/>
          <w:numId w:val="4"/>
        </w:numPr>
        <w:shd w:val="clear"/>
        <w:ind w:leftChars="0" w:firstLine="640" w:firstLineChars="0"/>
        <w:rPr>
          <w:rFonts w:hint="eastAsia"/>
          <w:highlight w:val="none"/>
        </w:rPr>
      </w:pPr>
      <w:r>
        <w:rPr>
          <w:rFonts w:hint="eastAsia"/>
          <w:highlight w:val="none"/>
          <w:lang w:eastAsia="zh-CN"/>
        </w:rPr>
        <w:t>经营主体</w:t>
      </w:r>
      <w:r>
        <w:rPr>
          <w:rFonts w:hint="eastAsia"/>
          <w:highlight w:val="none"/>
        </w:rPr>
        <w:t>应当保证注册提交材料的真实性、完整性。</w:t>
      </w:r>
      <w:r>
        <w:rPr>
          <w:rFonts w:hint="eastAsia"/>
          <w:highlight w:val="none"/>
          <w:lang w:eastAsia="zh-CN"/>
        </w:rPr>
        <w:t>经营主体</w:t>
      </w:r>
      <w:r>
        <w:rPr>
          <w:rFonts w:hint="eastAsia"/>
          <w:highlight w:val="none"/>
        </w:rPr>
        <w:t>如因注册信息不一致影响市场运行，由</w:t>
      </w:r>
      <w:r>
        <w:rPr>
          <w:rFonts w:hint="eastAsia"/>
          <w:highlight w:val="none"/>
          <w:lang w:eastAsia="zh-CN"/>
        </w:rPr>
        <w:t>经营主体</w:t>
      </w:r>
      <w:r>
        <w:rPr>
          <w:rFonts w:hint="eastAsia"/>
          <w:highlight w:val="none"/>
        </w:rPr>
        <w:t>自行承担相关后果及影响。</w:t>
      </w:r>
    </w:p>
    <w:p w14:paraId="365D0302">
      <w:pPr>
        <w:widowControl/>
        <w:numPr>
          <w:ilvl w:val="0"/>
          <w:numId w:val="4"/>
        </w:numPr>
        <w:pBdr>
          <w:top w:val="none" w:color="auto" w:sz="0" w:space="0"/>
          <w:left w:val="none" w:color="auto" w:sz="0" w:space="0"/>
          <w:right w:val="none" w:color="auto" w:sz="0" w:space="0"/>
        </w:pBdr>
        <w:shd w:val="clear"/>
        <w:spacing w:line="240" w:lineRule="auto"/>
        <w:ind w:leftChars="0" w:firstLine="640" w:firstLineChars="0"/>
        <w:jc w:val="left"/>
        <w:rPr>
          <w:rFonts w:hint="eastAsia" w:ascii="Times New Roman" w:hAnsi="Times New Roman" w:eastAsia="仿宋" w:cs="宋体"/>
          <w:i w:val="0"/>
          <w:iCs w:val="0"/>
          <w:caps w:val="0"/>
          <w:spacing w:val="0"/>
          <w:sz w:val="32"/>
          <w:szCs w:val="24"/>
          <w:highlight w:val="none"/>
          <w:shd w:val="clear"/>
        </w:rPr>
      </w:pPr>
      <w:r>
        <w:rPr>
          <w:rFonts w:hint="eastAsia" w:ascii="Times New Roman" w:hAnsi="Times New Roman" w:eastAsia="仿宋" w:cs="宋体"/>
          <w:i w:val="0"/>
          <w:iCs w:val="0"/>
          <w:caps w:val="0"/>
          <w:spacing w:val="0"/>
          <w:sz w:val="32"/>
          <w:szCs w:val="24"/>
          <w:highlight w:val="none"/>
          <w:shd w:val="clear"/>
        </w:rPr>
        <w:t>电力交易机构收到经营主体提交的市场注册申请和注册材料后，在5个工作日内进行审查，必要时组织对经营主体进行现场核验。对于市场注册材料不符合要求的，应予以一次性告知。</w:t>
      </w:r>
    </w:p>
    <w:p w14:paraId="74BB11B9">
      <w:pPr>
        <w:widowControl/>
        <w:numPr>
          <w:ilvl w:val="0"/>
          <w:numId w:val="4"/>
        </w:numPr>
        <w:pBdr>
          <w:top w:val="none" w:color="auto" w:sz="0" w:space="0"/>
          <w:left w:val="none" w:color="auto" w:sz="0" w:space="0"/>
          <w:right w:val="none" w:color="auto" w:sz="0" w:space="0"/>
        </w:pBdr>
        <w:shd w:val="clear"/>
        <w:spacing w:line="240" w:lineRule="auto"/>
        <w:ind w:leftChars="0" w:firstLine="640" w:firstLineChars="0"/>
        <w:jc w:val="left"/>
        <w:rPr>
          <w:rFonts w:hint="eastAsia" w:ascii="Times New Roman" w:hAnsi="Times New Roman" w:eastAsia="仿宋" w:cs="宋体"/>
          <w:i w:val="0"/>
          <w:iCs w:val="0"/>
          <w:caps w:val="0"/>
          <w:spacing w:val="0"/>
          <w:sz w:val="32"/>
          <w:szCs w:val="24"/>
          <w:highlight w:val="none"/>
          <w:shd w:val="clear"/>
        </w:rPr>
      </w:pPr>
      <w:r>
        <w:rPr>
          <w:rFonts w:hint="eastAsia" w:ascii="Times New Roman" w:hAnsi="Times New Roman" w:eastAsia="仿宋" w:cs="宋体"/>
          <w:i w:val="0"/>
          <w:iCs w:val="0"/>
          <w:caps w:val="0"/>
          <w:spacing w:val="0"/>
          <w:sz w:val="32"/>
          <w:szCs w:val="24"/>
          <w:highlight w:val="none"/>
          <w:shd w:val="clear"/>
        </w:rPr>
        <w:t>市场注册审查通过的发电企业、电力用户、新型储能企业、分布式电源、电动汽车充电设施经营主体原则上无需公示，注册手续直接生效。</w:t>
      </w:r>
      <w:r>
        <w:rPr>
          <w:rFonts w:hint="eastAsia"/>
          <w:color w:val="auto"/>
          <w:sz w:val="32"/>
          <w:szCs w:val="24"/>
          <w:highlight w:val="none"/>
          <w:lang w:val="en-US" w:eastAsia="zh-CN"/>
        </w:rPr>
        <w:t>电网企业代理购电的工商业用户入市</w:t>
      </w:r>
      <w:r>
        <w:rPr>
          <w:rFonts w:hint="eastAsia" w:ascii="Times New Roman" w:hAnsi="Times New Roman" w:eastAsia="仿宋"/>
          <w:color w:val="auto"/>
          <w:sz w:val="32"/>
          <w:szCs w:val="24"/>
          <w:highlight w:val="none"/>
          <w:lang w:val="en-US" w:eastAsia="zh-CN"/>
        </w:rPr>
        <w:t>注册</w:t>
      </w:r>
      <w:r>
        <w:rPr>
          <w:rFonts w:hint="eastAsia" w:ascii="Times New Roman" w:hAnsi="Times New Roman"/>
          <w:color w:val="auto"/>
          <w:sz w:val="32"/>
          <w:szCs w:val="24"/>
          <w:highlight w:val="none"/>
          <w:lang w:val="en-US" w:eastAsia="zh-CN"/>
        </w:rPr>
        <w:t>手续</w:t>
      </w:r>
      <w:r>
        <w:rPr>
          <w:rFonts w:hint="eastAsia"/>
          <w:color w:val="auto"/>
          <w:sz w:val="32"/>
          <w:szCs w:val="24"/>
          <w:highlight w:val="none"/>
          <w:lang w:val="en-US" w:eastAsia="zh-CN"/>
        </w:rPr>
        <w:t>生效后，其所属各营销户号可参与市场交易的时间按代理购电有关规定执行；其余各类经营主体注册手续生效后，可参与交易标的为次月及以后的市场交易。</w:t>
      </w:r>
    </w:p>
    <w:p w14:paraId="5BCC5778">
      <w:pPr>
        <w:widowControl/>
        <w:numPr>
          <w:ilvl w:val="0"/>
          <w:numId w:val="4"/>
        </w:numPr>
        <w:pBdr>
          <w:top w:val="none" w:color="auto" w:sz="0" w:space="0"/>
          <w:left w:val="none" w:color="auto" w:sz="0" w:space="0"/>
          <w:right w:val="none" w:color="auto" w:sz="0" w:space="0"/>
        </w:pBdr>
        <w:shd w:val="clear"/>
        <w:spacing w:line="240" w:lineRule="auto"/>
        <w:ind w:leftChars="0" w:firstLine="640" w:firstLineChars="0"/>
        <w:jc w:val="left"/>
        <w:rPr>
          <w:rFonts w:hint="eastAsia"/>
          <w:highlight w:val="none"/>
        </w:rPr>
      </w:pPr>
      <w:r>
        <w:rPr>
          <w:rFonts w:hint="eastAsia"/>
          <w:highlight w:val="none"/>
        </w:rPr>
        <w:t>电力交易机构将市场注册生效的经营主体纳入经营主体目录，实行动态管理，按照信息披露要求向社会公布，</w:t>
      </w:r>
      <w:r>
        <w:rPr>
          <w:rFonts w:hint="eastAsia"/>
          <w:highlight w:val="none"/>
          <w:lang w:val="en-US" w:eastAsia="zh-CN"/>
        </w:rPr>
        <w:t>按要求报</w:t>
      </w:r>
      <w:r>
        <w:rPr>
          <w:rFonts w:hint="eastAsia"/>
          <w:b w:val="0"/>
          <w:bCs w:val="0"/>
          <w:color w:val="auto"/>
          <w:sz w:val="32"/>
          <w:szCs w:val="24"/>
          <w:highlight w:val="none"/>
          <w:lang w:val="en-US" w:eastAsia="zh-CN"/>
        </w:rPr>
        <w:t>云南能源监管办和云南省能源局</w:t>
      </w:r>
      <w:r>
        <w:rPr>
          <w:rFonts w:hint="eastAsia"/>
          <w:highlight w:val="none"/>
        </w:rPr>
        <w:t>备案。</w:t>
      </w:r>
    </w:p>
    <w:p w14:paraId="215AE5AB">
      <w:pPr>
        <w:numPr>
          <w:ilvl w:val="0"/>
          <w:numId w:val="4"/>
        </w:numPr>
        <w:shd w:val="clear"/>
        <w:ind w:leftChars="0" w:firstLine="640"/>
        <w:rPr>
          <w:rFonts w:hint="eastAsia" w:ascii="Times New Roman" w:hAnsi="Times New Roman" w:eastAsia="仿宋" w:cs="宋体"/>
          <w:i w:val="0"/>
          <w:iCs w:val="0"/>
          <w:caps w:val="0"/>
          <w:spacing w:val="0"/>
          <w:sz w:val="32"/>
          <w:szCs w:val="24"/>
          <w:highlight w:val="none"/>
          <w:shd w:val="clear"/>
        </w:rPr>
      </w:pPr>
      <w:r>
        <w:rPr>
          <w:rFonts w:hint="eastAsia" w:ascii="Times New Roman" w:hAnsi="Times New Roman" w:eastAsia="仿宋" w:cs="宋体"/>
          <w:i w:val="0"/>
          <w:iCs w:val="0"/>
          <w:caps w:val="0"/>
          <w:spacing w:val="0"/>
          <w:sz w:val="32"/>
          <w:szCs w:val="24"/>
          <w:highlight w:val="none"/>
          <w:shd w:val="clear"/>
        </w:rPr>
        <w:t>具有多重主体身份的经营主体，应当按经营主体类别分别进行注册。</w:t>
      </w:r>
      <w:r>
        <w:rPr>
          <w:rFonts w:hint="eastAsia"/>
          <w:highlight w:val="none"/>
        </w:rPr>
        <w:t>办理售电增项业务的发电企业，应当分别以发电企业和售电公司的</w:t>
      </w:r>
      <w:r>
        <w:rPr>
          <w:rFonts w:hint="eastAsia"/>
          <w:highlight w:val="none"/>
          <w:lang w:eastAsia="zh-CN"/>
        </w:rPr>
        <w:t>经营主体</w:t>
      </w:r>
      <w:r>
        <w:rPr>
          <w:rFonts w:hint="eastAsia"/>
          <w:highlight w:val="none"/>
        </w:rPr>
        <w:t>类别进行注册，新开展的同一笔交易中不能同时作为买方和卖方。</w:t>
      </w:r>
    </w:p>
    <w:p w14:paraId="346A2B3A">
      <w:pPr>
        <w:widowControl/>
        <w:numPr>
          <w:ilvl w:val="0"/>
          <w:numId w:val="4"/>
        </w:numPr>
        <w:pBdr>
          <w:top w:val="none" w:color="auto" w:sz="0" w:space="0"/>
          <w:left w:val="none" w:color="auto" w:sz="0" w:space="0"/>
          <w:right w:val="none" w:color="auto" w:sz="0" w:space="0"/>
        </w:pBdr>
        <w:shd w:val="clear"/>
        <w:spacing w:line="240" w:lineRule="auto"/>
        <w:ind w:leftChars="0" w:firstLine="640" w:firstLineChars="0"/>
        <w:jc w:val="left"/>
        <w:rPr>
          <w:highlight w:val="none"/>
        </w:rPr>
      </w:pPr>
      <w:r>
        <w:rPr>
          <w:rFonts w:hint="eastAsia"/>
          <w:highlight w:val="none"/>
        </w:rPr>
        <w:t>直接参加市场化交易（含批发、零售交易）的电力用户全部电量需通过批发或者零售交易购买，且不得同时参加批发交易和零售交易。</w:t>
      </w:r>
    </w:p>
    <w:p w14:paraId="68F40205">
      <w:pPr>
        <w:shd w:val="clear"/>
        <w:ind w:firstLine="640"/>
        <w:rPr>
          <w:rFonts w:hint="eastAsia"/>
          <w:highlight w:val="none"/>
        </w:rPr>
      </w:pPr>
      <w:r>
        <w:rPr>
          <w:rFonts w:hint="eastAsia"/>
          <w:highlight w:val="none"/>
        </w:rPr>
        <w:t>参加市场化交易的电力用户，允许在合同期满的下一个年度，按照</w:t>
      </w:r>
      <w:r>
        <w:rPr>
          <w:rFonts w:hint="eastAsia"/>
          <w:highlight w:val="none"/>
          <w:lang w:val="en-US" w:eastAsia="zh-CN"/>
        </w:rPr>
        <w:t>交易单元</w:t>
      </w:r>
      <w:r>
        <w:rPr>
          <w:rFonts w:hint="eastAsia"/>
          <w:highlight w:val="none"/>
        </w:rPr>
        <w:t>选择参加批发或者零售交易。其中，选择零售交易的，在同一合同周期内仅可与一家售电公司确立零售服务关系，双方在电力交易平台绑定确认后，电力交易机构不再受理新的绑定申请，电力用户全部电量通过该售电公司购买。</w:t>
      </w:r>
    </w:p>
    <w:p w14:paraId="2F6A8DFA">
      <w:pPr>
        <w:widowControl/>
        <w:numPr>
          <w:ilvl w:val="0"/>
          <w:numId w:val="4"/>
        </w:numPr>
        <w:pBdr>
          <w:top w:val="none" w:color="auto" w:sz="0" w:space="0"/>
          <w:left w:val="none" w:color="auto" w:sz="0" w:space="0"/>
          <w:right w:val="none" w:color="auto" w:sz="0" w:space="0"/>
        </w:pBdr>
        <w:shd w:val="clear"/>
        <w:spacing w:line="240" w:lineRule="auto"/>
        <w:ind w:leftChars="0" w:firstLine="640" w:firstLineChars="0"/>
        <w:jc w:val="left"/>
        <w:rPr>
          <w:rFonts w:hint="eastAsia" w:eastAsia="仿宋"/>
          <w:highlight w:val="none"/>
          <w:lang w:val="en-US" w:eastAsia="zh-CN"/>
        </w:rPr>
      </w:pPr>
      <w:r>
        <w:rPr>
          <w:rFonts w:hint="eastAsia" w:ascii="Times New Roman" w:hAnsi="Times New Roman" w:eastAsia="仿宋" w:cs="宋体"/>
          <w:i w:val="0"/>
          <w:iCs w:val="0"/>
          <w:caps w:val="0"/>
          <w:spacing w:val="0"/>
          <w:sz w:val="32"/>
          <w:szCs w:val="24"/>
          <w:highlight w:val="none"/>
          <w:shd w:val="clear"/>
        </w:rPr>
        <w:t>电力交易机构</w:t>
      </w:r>
      <w:r>
        <w:rPr>
          <w:rFonts w:hint="eastAsia" w:ascii="Times New Roman" w:hAnsi="Times New Roman" w:eastAsia="仿宋" w:cs="宋体"/>
          <w:i w:val="0"/>
          <w:iCs w:val="0"/>
          <w:caps w:val="0"/>
          <w:spacing w:val="0"/>
          <w:sz w:val="32"/>
          <w:szCs w:val="24"/>
          <w:highlight w:val="none"/>
          <w:shd w:val="clear"/>
          <w:lang w:val="en-US" w:eastAsia="zh-CN"/>
        </w:rPr>
        <w:t>按照</w:t>
      </w:r>
      <w:r>
        <w:rPr>
          <w:rFonts w:hint="eastAsia" w:ascii="Times New Roman" w:hAnsi="Times New Roman" w:eastAsia="仿宋" w:cs="宋体"/>
          <w:i w:val="0"/>
          <w:iCs w:val="0"/>
          <w:caps w:val="0"/>
          <w:spacing w:val="0"/>
          <w:sz w:val="32"/>
          <w:szCs w:val="24"/>
          <w:highlight w:val="none"/>
          <w:shd w:val="clear"/>
        </w:rPr>
        <w:t>《电力市场注册基本规则》</w:t>
      </w:r>
      <w:r>
        <w:rPr>
          <w:rFonts w:hint="eastAsia" w:cs="宋体"/>
          <w:i w:val="0"/>
          <w:iCs w:val="0"/>
          <w:caps w:val="0"/>
          <w:spacing w:val="0"/>
          <w:sz w:val="32"/>
          <w:szCs w:val="24"/>
          <w:highlight w:val="none"/>
          <w:shd w:val="clear"/>
          <w:lang w:val="en-US" w:eastAsia="zh-CN"/>
        </w:rPr>
        <w:t>规范受理</w:t>
      </w:r>
      <w:r>
        <w:rPr>
          <w:rFonts w:hint="eastAsia" w:ascii="Times New Roman" w:hAnsi="Times New Roman" w:eastAsia="仿宋" w:cs="宋体"/>
          <w:i w:val="0"/>
          <w:iCs w:val="0"/>
          <w:caps w:val="0"/>
          <w:spacing w:val="0"/>
          <w:sz w:val="32"/>
          <w:szCs w:val="24"/>
          <w:highlight w:val="none"/>
          <w:shd w:val="clear"/>
        </w:rPr>
        <w:t>经营主体</w:t>
      </w:r>
      <w:r>
        <w:rPr>
          <w:rFonts w:hint="eastAsia" w:cs="宋体"/>
          <w:i w:val="0"/>
          <w:iCs w:val="0"/>
          <w:caps w:val="0"/>
          <w:spacing w:val="0"/>
          <w:sz w:val="32"/>
          <w:szCs w:val="24"/>
          <w:highlight w:val="none"/>
          <w:shd w:val="clear"/>
          <w:lang w:val="en-US" w:eastAsia="zh-CN"/>
        </w:rPr>
        <w:t>信息</w:t>
      </w:r>
      <w:r>
        <w:rPr>
          <w:rFonts w:hint="eastAsia" w:ascii="Times New Roman" w:hAnsi="Times New Roman" w:eastAsia="仿宋" w:cs="宋体"/>
          <w:i w:val="0"/>
          <w:iCs w:val="0"/>
          <w:caps w:val="0"/>
          <w:spacing w:val="0"/>
          <w:sz w:val="32"/>
          <w:szCs w:val="24"/>
          <w:highlight w:val="none"/>
          <w:shd w:val="clear"/>
        </w:rPr>
        <w:t>变更</w:t>
      </w:r>
      <w:r>
        <w:rPr>
          <w:rFonts w:hint="eastAsia" w:cs="宋体"/>
          <w:i w:val="0"/>
          <w:iCs w:val="0"/>
          <w:caps w:val="0"/>
          <w:spacing w:val="0"/>
          <w:sz w:val="32"/>
          <w:szCs w:val="24"/>
          <w:highlight w:val="none"/>
          <w:shd w:val="clear"/>
          <w:lang w:val="en-US" w:eastAsia="zh-CN"/>
        </w:rPr>
        <w:t>和市场注销有关工作。</w:t>
      </w:r>
    </w:p>
    <w:p w14:paraId="69616DA3">
      <w:pPr>
        <w:widowControl/>
        <w:numPr>
          <w:ilvl w:val="0"/>
          <w:numId w:val="4"/>
        </w:numPr>
        <w:pBdr>
          <w:top w:val="none" w:color="auto" w:sz="0" w:space="0"/>
          <w:left w:val="none" w:color="auto" w:sz="0" w:space="0"/>
          <w:right w:val="none" w:color="auto" w:sz="0" w:space="0"/>
        </w:pBdr>
        <w:spacing w:line="240" w:lineRule="auto"/>
        <w:ind w:firstLine="640" w:firstLineChars="0"/>
        <w:jc w:val="left"/>
        <w:rPr>
          <w:rFonts w:hint="eastAsia"/>
          <w:highlight w:val="none"/>
        </w:rPr>
      </w:pPr>
      <w:r>
        <w:rPr>
          <w:rFonts w:hint="eastAsia" w:ascii="Times New Roman" w:hAnsi="Times New Roman" w:eastAsia="仿宋" w:cs="宋体"/>
          <w:i w:val="0"/>
          <w:iCs w:val="0"/>
          <w:caps w:val="0"/>
          <w:spacing w:val="0"/>
          <w:sz w:val="32"/>
          <w:szCs w:val="24"/>
          <w:highlight w:val="none"/>
          <w:shd w:val="clear"/>
        </w:rPr>
        <w:t>经营主体市场注册信息发生变化后，应在5个工作日内向首次注册的电力交易机构提出信息变更申请。</w:t>
      </w:r>
      <w:r>
        <w:rPr>
          <w:rFonts w:hint="eastAsia"/>
          <w:highlight w:val="none"/>
        </w:rPr>
        <w:t>信息变更主要包含以下内容：</w:t>
      </w:r>
    </w:p>
    <w:p w14:paraId="23A1434A">
      <w:pPr>
        <w:ind w:firstLine="640"/>
        <w:rPr>
          <w:rFonts w:hint="eastAsia"/>
          <w:highlight w:val="none"/>
        </w:rPr>
      </w:pPr>
      <w:r>
        <w:rPr>
          <w:rFonts w:hint="eastAsia"/>
          <w:highlight w:val="none"/>
        </w:rPr>
        <w:t>（一）经营主体身份名称变更、法定代表人（或负责人）更换；</w:t>
      </w:r>
    </w:p>
    <w:p w14:paraId="7A0C2B32">
      <w:pPr>
        <w:ind w:firstLine="640"/>
        <w:rPr>
          <w:rFonts w:hint="eastAsia"/>
          <w:highlight w:val="none"/>
        </w:rPr>
      </w:pPr>
      <w:r>
        <w:rPr>
          <w:rFonts w:hint="eastAsia"/>
          <w:highlight w:val="none"/>
        </w:rPr>
        <w:t>（二）公司股东、股权结构的重大变化，因公司股权转让导致公司控股股东或者实际控制人发生变化等；</w:t>
      </w:r>
    </w:p>
    <w:p w14:paraId="7EE9E52D">
      <w:pPr>
        <w:ind w:firstLine="640"/>
        <w:rPr>
          <w:rFonts w:hint="eastAsia"/>
          <w:highlight w:val="none"/>
        </w:rPr>
      </w:pPr>
      <w:r>
        <w:rPr>
          <w:rFonts w:hint="eastAsia"/>
          <w:highlight w:val="none"/>
        </w:rPr>
        <w:t>（三）电力业务许可证变更、延续等；</w:t>
      </w:r>
    </w:p>
    <w:p w14:paraId="4B491D62">
      <w:pPr>
        <w:ind w:firstLine="640"/>
        <w:rPr>
          <w:rFonts w:hint="eastAsia"/>
          <w:highlight w:val="none"/>
        </w:rPr>
      </w:pPr>
      <w:r>
        <w:rPr>
          <w:rFonts w:hint="eastAsia"/>
          <w:highlight w:val="none"/>
        </w:rPr>
        <w:t>（四）发电企业机组转让、机组关停退役、机组调度关系调整、机组自备公用性质转换、机组进入及退出商业运营、机组容量调整、其他影响交易组织的关键技术参数变更等；</w:t>
      </w:r>
    </w:p>
    <w:p w14:paraId="4DD5C291">
      <w:pPr>
        <w:ind w:firstLine="640"/>
        <w:rPr>
          <w:rFonts w:hint="eastAsia"/>
          <w:highlight w:val="none"/>
        </w:rPr>
      </w:pPr>
      <w:r>
        <w:rPr>
          <w:rFonts w:hint="eastAsia"/>
          <w:highlight w:val="none"/>
        </w:rPr>
        <w:t>（五）新型储能企业主体储能项目（单元）转让、储能单元容量调整、其他影响交易组织的关键技术参数变更等；</w:t>
      </w:r>
    </w:p>
    <w:p w14:paraId="60CFC2FE">
      <w:pPr>
        <w:pStyle w:val="2"/>
        <w:rPr>
          <w:rFonts w:hint="eastAsia" w:eastAsia="仿宋"/>
          <w:highlight w:val="none"/>
          <w:lang w:val="en-US" w:eastAsia="zh-CN"/>
        </w:rPr>
      </w:pPr>
      <w:r>
        <w:rPr>
          <w:rFonts w:hint="eastAsia"/>
          <w:highlight w:val="none"/>
        </w:rPr>
        <w:t>（六）售电公司、虚拟电厂（含负荷聚合商）资产总额发生影响年度代理电量规模或调节能力的变化、企业高级或中级职称的专业人员变更、配电网运营资质变化、业务范围变更等。</w:t>
      </w:r>
    </w:p>
    <w:p w14:paraId="3C9BEFA7">
      <w:pPr>
        <w:widowControl/>
        <w:numPr>
          <w:ilvl w:val="0"/>
          <w:numId w:val="4"/>
        </w:numPr>
        <w:pBdr>
          <w:top w:val="none" w:color="auto" w:sz="0" w:space="0"/>
          <w:left w:val="none" w:color="auto" w:sz="0" w:space="0"/>
          <w:right w:val="none" w:color="auto" w:sz="0" w:space="0"/>
        </w:pBdr>
        <w:shd w:val="clear"/>
        <w:spacing w:line="240" w:lineRule="auto"/>
        <w:ind w:leftChars="0" w:firstLine="640" w:firstLineChars="0"/>
        <w:jc w:val="left"/>
        <w:rPr>
          <w:rFonts w:hint="eastAsia"/>
          <w:highlight w:val="none"/>
        </w:rPr>
      </w:pPr>
      <w:r>
        <w:rPr>
          <w:rFonts w:hint="eastAsia"/>
          <w:highlight w:val="none"/>
        </w:rPr>
        <w:t>已经选择市场化交易的</w:t>
      </w:r>
      <w:r>
        <w:rPr>
          <w:rFonts w:hint="eastAsia"/>
          <w:highlight w:val="none"/>
          <w:lang w:val="en-US" w:eastAsia="zh-CN"/>
        </w:rPr>
        <w:t>经营主体</w:t>
      </w:r>
      <w:r>
        <w:rPr>
          <w:rFonts w:hint="eastAsia"/>
          <w:highlight w:val="none"/>
        </w:rPr>
        <w:t>，原则上不得</w:t>
      </w:r>
      <w:r>
        <w:rPr>
          <w:rFonts w:hint="eastAsia"/>
          <w:highlight w:val="none"/>
          <w:lang w:eastAsia="zh-CN"/>
        </w:rPr>
        <w:t>申请</w:t>
      </w:r>
      <w:r>
        <w:rPr>
          <w:rFonts w:hint="eastAsia"/>
          <w:highlight w:val="none"/>
        </w:rPr>
        <w:t>市场</w:t>
      </w:r>
      <w:r>
        <w:rPr>
          <w:rFonts w:hint="eastAsia"/>
          <w:highlight w:val="none"/>
          <w:lang w:eastAsia="zh-CN"/>
        </w:rPr>
        <w:t>注销</w:t>
      </w:r>
      <w:r>
        <w:rPr>
          <w:rFonts w:hint="eastAsia"/>
          <w:highlight w:val="none"/>
        </w:rPr>
        <w:t>。有下列正当理由之一的，可</w:t>
      </w:r>
      <w:r>
        <w:rPr>
          <w:rFonts w:hint="eastAsia"/>
          <w:highlight w:val="none"/>
          <w:lang w:val="en-US" w:eastAsia="zh-CN"/>
        </w:rPr>
        <w:t>申请注销</w:t>
      </w:r>
      <w:r>
        <w:rPr>
          <w:rFonts w:hint="eastAsia"/>
          <w:highlight w:val="none"/>
        </w:rPr>
        <w:t>：</w:t>
      </w:r>
    </w:p>
    <w:p w14:paraId="0429EA9B">
      <w:pPr>
        <w:numPr>
          <w:ilvl w:val="-1"/>
          <w:numId w:val="0"/>
        </w:numPr>
        <w:shd w:val="clear"/>
        <w:ind w:leftChars="0" w:firstLine="640" w:firstLineChars="200"/>
        <w:rPr>
          <w:rFonts w:hint="eastAsia"/>
          <w:highlight w:val="none"/>
        </w:rPr>
      </w:pPr>
      <w:r>
        <w:rPr>
          <w:rFonts w:hint="eastAsia"/>
          <w:highlight w:val="none"/>
        </w:rPr>
        <w:t>（一）经营主体宣告破产，或虽未破产但被地方政府主管部门关停或主动拆除，不再发电或者用电；</w:t>
      </w:r>
    </w:p>
    <w:p w14:paraId="76A8A944">
      <w:pPr>
        <w:numPr>
          <w:ilvl w:val="-1"/>
          <w:numId w:val="0"/>
        </w:numPr>
        <w:shd w:val="clear"/>
        <w:ind w:leftChars="0" w:firstLine="640" w:firstLineChars="200"/>
        <w:rPr>
          <w:rFonts w:hint="eastAsia"/>
          <w:highlight w:val="none"/>
        </w:rPr>
      </w:pPr>
      <w:r>
        <w:rPr>
          <w:rFonts w:hint="eastAsia"/>
          <w:highlight w:val="none"/>
        </w:rPr>
        <w:t>（二）因国家政策、电力市场规则发生重大调整，导致原有经营主体非自身原因无法继续参加市场的情况；</w:t>
      </w:r>
    </w:p>
    <w:p w14:paraId="50555091">
      <w:pPr>
        <w:numPr>
          <w:ilvl w:val="-1"/>
          <w:numId w:val="0"/>
        </w:numPr>
        <w:shd w:val="clear"/>
        <w:ind w:leftChars="0" w:firstLine="640" w:firstLineChars="200"/>
        <w:rPr>
          <w:rFonts w:hint="eastAsia"/>
          <w:highlight w:val="none"/>
        </w:rPr>
      </w:pPr>
      <w:r>
        <w:rPr>
          <w:rFonts w:hint="eastAsia"/>
          <w:highlight w:val="none"/>
        </w:rPr>
        <w:t>（三）因电网网架调整，导致经营主体的发用电物理属性无法满足所在地区的电力市场进入条件；</w:t>
      </w:r>
    </w:p>
    <w:p w14:paraId="13AA28CD">
      <w:pPr>
        <w:numPr>
          <w:ilvl w:val="-1"/>
          <w:numId w:val="0"/>
        </w:numPr>
        <w:shd w:val="clear"/>
        <w:ind w:leftChars="0" w:firstLine="640" w:firstLineChars="200"/>
        <w:rPr>
          <w:rFonts w:hint="eastAsia"/>
          <w:highlight w:val="none"/>
        </w:rPr>
      </w:pPr>
      <w:r>
        <w:rPr>
          <w:rFonts w:hint="eastAsia"/>
          <w:highlight w:val="none"/>
        </w:rPr>
        <w:t>（四）经营主体所有机组关停退役的；</w:t>
      </w:r>
    </w:p>
    <w:p w14:paraId="7CFE5348">
      <w:pPr>
        <w:numPr>
          <w:ilvl w:val="-1"/>
          <w:numId w:val="0"/>
        </w:numPr>
        <w:shd w:val="clear"/>
        <w:ind w:leftChars="0" w:firstLine="640" w:firstLineChars="200"/>
        <w:rPr>
          <w:rFonts w:hint="eastAsia"/>
          <w:highlight w:val="none"/>
        </w:rPr>
      </w:pPr>
      <w:r>
        <w:rPr>
          <w:rFonts w:hint="eastAsia"/>
          <w:highlight w:val="none"/>
        </w:rPr>
        <w:t>（五）经营主体全部电量不再属于工商业用电性质的。</w:t>
      </w:r>
    </w:p>
    <w:p w14:paraId="6844E14B">
      <w:pPr>
        <w:widowControl/>
        <w:numPr>
          <w:ilvl w:val="0"/>
          <w:numId w:val="4"/>
        </w:numPr>
        <w:pBdr>
          <w:top w:val="none" w:color="auto" w:sz="0" w:space="0"/>
          <w:left w:val="none" w:color="auto" w:sz="0" w:space="0"/>
          <w:right w:val="none" w:color="auto" w:sz="0" w:space="0"/>
        </w:pBdr>
        <w:shd w:val="clear"/>
        <w:spacing w:line="240" w:lineRule="auto"/>
        <w:ind w:firstLine="640" w:firstLineChars="0"/>
        <w:jc w:val="left"/>
        <w:rPr>
          <w:rFonts w:hint="eastAsia" w:ascii="Times New Roman" w:hAnsi="Times New Roman"/>
          <w:color w:val="auto"/>
          <w:highlight w:val="none"/>
        </w:rPr>
      </w:pPr>
      <w:r>
        <w:rPr>
          <w:rFonts w:hint="eastAsia" w:ascii="Times New Roman" w:hAnsi="Times New Roman"/>
          <w:b w:val="0"/>
          <w:bCs w:val="0"/>
          <w:color w:val="auto"/>
          <w:sz w:val="32"/>
          <w:szCs w:val="24"/>
          <w:highlight w:val="none"/>
          <w:lang w:val="en-US" w:eastAsia="zh-CN"/>
        </w:rPr>
        <w:t>电力交易机构可对经营主体持续满足注册条件核验，</w:t>
      </w:r>
      <w:r>
        <w:rPr>
          <w:rFonts w:hint="eastAsia"/>
          <w:color w:val="auto"/>
          <w:highlight w:val="none"/>
        </w:rPr>
        <w:t>必要时组织对经营主体进行现场核验，发现符合正当理由退出电力市场交易或工商营业执照注销、吊销且未申请市场注销的，予以自动注销处理，并报</w:t>
      </w:r>
      <w:r>
        <w:rPr>
          <w:rFonts w:hint="eastAsia"/>
          <w:b w:val="0"/>
          <w:bCs w:val="0"/>
          <w:color w:val="auto"/>
          <w:sz w:val="32"/>
          <w:szCs w:val="24"/>
          <w:highlight w:val="none"/>
          <w:lang w:val="en-US" w:eastAsia="zh-CN"/>
        </w:rPr>
        <w:t>云南能源监管办和云南省能源局</w:t>
      </w:r>
      <w:r>
        <w:rPr>
          <w:rFonts w:hint="eastAsia"/>
          <w:color w:val="auto"/>
          <w:highlight w:val="none"/>
        </w:rPr>
        <w:t>备案。售电公司持续满足注册条件核验按照《售电公司管理办法》规定执行</w:t>
      </w:r>
      <w:r>
        <w:rPr>
          <w:rFonts w:hint="eastAsia"/>
          <w:color w:val="auto"/>
          <w:highlight w:val="none"/>
          <w:lang w:eastAsia="zh-CN"/>
        </w:rPr>
        <w:t>，售电公司退出市场，其所有已签订但未履行的购售电合同可按照自主协商、公开竞价转让（拍卖）、保底售电、保底供电等流程进行处置。</w:t>
      </w:r>
      <w:r>
        <w:rPr>
          <w:rFonts w:hint="eastAsia"/>
          <w:color w:val="auto"/>
          <w:highlight w:val="none"/>
        </w:rPr>
        <w:t>虚拟电厂（含负荷聚合商）初期参照《售电公司管理办法》执行。</w:t>
      </w:r>
    </w:p>
    <w:p w14:paraId="19F82993">
      <w:pPr>
        <w:widowControl/>
        <w:numPr>
          <w:ilvl w:val="0"/>
          <w:numId w:val="4"/>
        </w:numPr>
        <w:pBdr>
          <w:top w:val="none" w:color="auto" w:sz="0" w:space="0"/>
          <w:left w:val="none" w:color="auto" w:sz="0" w:space="0"/>
          <w:right w:val="none" w:color="auto" w:sz="0" w:space="0"/>
        </w:pBdr>
        <w:shd w:val="clear"/>
        <w:spacing w:line="240" w:lineRule="auto"/>
        <w:ind w:firstLine="640" w:firstLineChars="0"/>
        <w:jc w:val="left"/>
        <w:rPr>
          <w:rFonts w:hint="eastAsia"/>
          <w:highlight w:val="none"/>
        </w:rPr>
      </w:pPr>
      <w:r>
        <w:rPr>
          <w:rFonts w:hint="eastAsia"/>
          <w:highlight w:val="none"/>
          <w:lang w:val="en-US" w:eastAsia="zh-CN"/>
        </w:rPr>
        <w:t>电力用户无正当理由</w:t>
      </w:r>
      <w:r>
        <w:rPr>
          <w:rFonts w:hint="eastAsia"/>
          <w:highlight w:val="none"/>
        </w:rPr>
        <w:t>转为电网企业代理购电的，用电价格按省级政府价格主管部门明确的价格政策执行。</w:t>
      </w:r>
    </w:p>
    <w:p w14:paraId="230DECF6">
      <w:pPr>
        <w:widowControl/>
        <w:numPr>
          <w:ilvl w:val="0"/>
          <w:numId w:val="4"/>
        </w:numPr>
        <w:pBdr>
          <w:top w:val="none" w:color="auto" w:sz="0" w:space="0"/>
          <w:left w:val="none" w:color="auto" w:sz="0" w:space="0"/>
          <w:right w:val="none" w:color="auto" w:sz="0" w:space="0"/>
        </w:pBdr>
        <w:shd w:val="clear"/>
        <w:spacing w:line="240" w:lineRule="auto"/>
        <w:ind w:firstLine="640" w:firstLineChars="0"/>
        <w:jc w:val="left"/>
        <w:rPr>
          <w:rFonts w:hint="eastAsia"/>
          <w:highlight w:val="none"/>
        </w:rPr>
      </w:pPr>
      <w:r>
        <w:rPr>
          <w:rFonts w:hint="eastAsia"/>
          <w:highlight w:val="none"/>
          <w:lang w:val="en-US" w:eastAsia="zh-CN"/>
        </w:rPr>
        <w:t>交易机构应积极</w:t>
      </w:r>
      <w:r>
        <w:rPr>
          <w:rFonts w:hint="eastAsia"/>
          <w:highlight w:val="none"/>
        </w:rPr>
        <w:t>实现与电力调度机构电力调度自动化系统及电网企业营销、新型电力负荷管理系统的市场注册所需信息交互，提升经营主体市场注册业务便捷性。地方电力企业和配售电企业应</w:t>
      </w:r>
      <w:r>
        <w:rPr>
          <w:rFonts w:hint="eastAsia"/>
          <w:highlight w:val="none"/>
          <w:lang w:val="en-US" w:eastAsia="zh-CN"/>
        </w:rPr>
        <w:t>配合做好</w:t>
      </w:r>
      <w:r>
        <w:rPr>
          <w:rFonts w:hint="eastAsia"/>
          <w:highlight w:val="none"/>
        </w:rPr>
        <w:t>计量、营销等技术支持系统与电力交易平台信息的互联互通，为地区</w:t>
      </w:r>
      <w:r>
        <w:rPr>
          <w:rFonts w:hint="eastAsia"/>
          <w:highlight w:val="none"/>
          <w:lang w:eastAsia="zh-CN"/>
        </w:rPr>
        <w:t>经营主体</w:t>
      </w:r>
      <w:r>
        <w:rPr>
          <w:rFonts w:hint="eastAsia"/>
          <w:highlight w:val="none"/>
        </w:rPr>
        <w:t>的统一注册管理、交易和结算创造条件。</w:t>
      </w:r>
    </w:p>
    <w:p w14:paraId="3895C3C7">
      <w:pPr>
        <w:numPr>
          <w:ilvl w:val="0"/>
          <w:numId w:val="4"/>
        </w:numPr>
        <w:shd w:val="clear"/>
        <w:ind w:firstLine="640"/>
        <w:rPr>
          <w:highlight w:val="none"/>
        </w:rPr>
      </w:pPr>
      <w:r>
        <w:rPr>
          <w:rFonts w:hint="eastAsia"/>
          <w:highlight w:val="none"/>
        </w:rPr>
        <w:t>参与批发交易的</w:t>
      </w:r>
      <w:r>
        <w:rPr>
          <w:rFonts w:hint="eastAsia"/>
          <w:highlight w:val="none"/>
          <w:lang w:eastAsia="zh-CN"/>
        </w:rPr>
        <w:t>经营主体</w:t>
      </w:r>
      <w:r>
        <w:rPr>
          <w:rFonts w:hint="eastAsia"/>
          <w:highlight w:val="none"/>
        </w:rPr>
        <w:t>，应当办理数字安全证书或采取同等安全等级的身份认证手段。参与零售交易的</w:t>
      </w:r>
      <w:r>
        <w:rPr>
          <w:rFonts w:hint="eastAsia"/>
          <w:highlight w:val="none"/>
          <w:lang w:eastAsia="zh-CN"/>
        </w:rPr>
        <w:t>经营主体</w:t>
      </w:r>
      <w:r>
        <w:rPr>
          <w:rFonts w:hint="eastAsia"/>
          <w:highlight w:val="none"/>
        </w:rPr>
        <w:t>，应采用双因子身份鉴别等方式进行身份认证。</w:t>
      </w:r>
    </w:p>
    <w:p w14:paraId="5827CA32">
      <w:pPr>
        <w:widowControl/>
        <w:numPr>
          <w:ilvl w:val="0"/>
          <w:numId w:val="4"/>
        </w:numPr>
        <w:pBdr>
          <w:top w:val="none" w:color="auto" w:sz="0" w:space="0"/>
          <w:left w:val="none" w:color="auto" w:sz="0" w:space="0"/>
          <w:right w:val="none" w:color="auto" w:sz="0" w:space="0"/>
        </w:pBdr>
        <w:shd w:val="clear"/>
        <w:spacing w:line="240" w:lineRule="auto"/>
        <w:ind w:firstLine="640" w:firstLineChars="0"/>
        <w:jc w:val="left"/>
        <w:rPr>
          <w:spacing w:val="-4"/>
          <w:highlight w:val="none"/>
        </w:rPr>
      </w:pPr>
      <w:r>
        <w:rPr>
          <w:rFonts w:hint="eastAsia" w:ascii="Times New Roman" w:hAnsi="Times New Roman" w:eastAsia="仿宋" w:cs="宋体"/>
          <w:i w:val="0"/>
          <w:iCs w:val="0"/>
          <w:caps w:val="0"/>
          <w:spacing w:val="0"/>
          <w:sz w:val="32"/>
          <w:szCs w:val="24"/>
          <w:highlight w:val="none"/>
          <w:shd w:val="clear"/>
        </w:rPr>
        <w:t>当国家政策调整或者交易规则变化导致市场注册信息发生变化时，电力交易机构应按照全国统一的原则组织经营主体重新注册或补充完善注册信息。</w:t>
      </w:r>
    </w:p>
    <w:p w14:paraId="5DA3CE67">
      <w:pPr>
        <w:numPr>
          <w:ilvl w:val="0"/>
          <w:numId w:val="4"/>
        </w:numPr>
        <w:shd w:val="clear"/>
        <w:ind w:firstLine="640"/>
        <w:rPr>
          <w:rFonts w:hint="eastAsia"/>
          <w:highlight w:val="none"/>
        </w:rPr>
      </w:pPr>
      <w:r>
        <w:rPr>
          <w:rFonts w:hint="eastAsia"/>
          <w:highlight w:val="none"/>
        </w:rPr>
        <w:t>电网企业、发电企业、电力用户、配售电企业根据交易需求和调度管理关系在相应的电力交易机构办理注册手续。其中，售电公司</w:t>
      </w:r>
      <w:r>
        <w:rPr>
          <w:szCs w:val="32"/>
          <w:highlight w:val="none"/>
        </w:rPr>
        <w:t>工商注册</w:t>
      </w:r>
      <w:r>
        <w:rPr>
          <w:rFonts w:hint="eastAsia"/>
          <w:szCs w:val="32"/>
          <w:highlight w:val="none"/>
        </w:rPr>
        <w:t>地在云南省的，向</w:t>
      </w:r>
      <w:r>
        <w:rPr>
          <w:rFonts w:hint="eastAsia"/>
          <w:szCs w:val="32"/>
          <w:highlight w:val="none"/>
          <w:lang w:val="en-US" w:eastAsia="zh-CN"/>
        </w:rPr>
        <w:t>电力交易机构</w:t>
      </w:r>
      <w:r>
        <w:rPr>
          <w:rFonts w:hint="eastAsia"/>
          <w:szCs w:val="32"/>
          <w:highlight w:val="none"/>
        </w:rPr>
        <w:t>办理注册手续，</w:t>
      </w:r>
      <w:r>
        <w:rPr>
          <w:szCs w:val="32"/>
          <w:highlight w:val="none"/>
        </w:rPr>
        <w:t>工商注册</w:t>
      </w:r>
      <w:r>
        <w:rPr>
          <w:rFonts w:hint="eastAsia"/>
          <w:szCs w:val="32"/>
          <w:highlight w:val="none"/>
        </w:rPr>
        <w:t>地不在云南省的，在其他交易机构办理注册后，可将注册信息共享至</w:t>
      </w:r>
      <w:r>
        <w:rPr>
          <w:rFonts w:hint="eastAsia"/>
          <w:szCs w:val="32"/>
          <w:highlight w:val="none"/>
          <w:lang w:val="en-US" w:eastAsia="zh-CN"/>
        </w:rPr>
        <w:t>电力交易机构</w:t>
      </w:r>
      <w:r>
        <w:rPr>
          <w:rFonts w:hint="eastAsia"/>
          <w:szCs w:val="32"/>
          <w:highlight w:val="none"/>
        </w:rPr>
        <w:t>，</w:t>
      </w:r>
      <w:r>
        <w:rPr>
          <w:rFonts w:hint="eastAsia"/>
          <w:highlight w:val="none"/>
        </w:rPr>
        <w:t>按照云南电力市场的准入条件和市场规则完善注册信息，无须重复注册。电力交易机构根据</w:t>
      </w:r>
      <w:r>
        <w:rPr>
          <w:rFonts w:hint="eastAsia"/>
          <w:highlight w:val="none"/>
          <w:lang w:eastAsia="zh-CN"/>
        </w:rPr>
        <w:t>经营主体</w:t>
      </w:r>
      <w:r>
        <w:rPr>
          <w:rFonts w:hint="eastAsia"/>
          <w:highlight w:val="none"/>
        </w:rPr>
        <w:t>注册情况</w:t>
      </w:r>
      <w:r>
        <w:rPr>
          <w:rFonts w:hint="eastAsia"/>
          <w:highlight w:val="none"/>
          <w:lang w:val="en-US" w:eastAsia="zh-CN"/>
        </w:rPr>
        <w:t>报送</w:t>
      </w:r>
      <w:r>
        <w:rPr>
          <w:rFonts w:hint="eastAsia"/>
          <w:highlight w:val="none"/>
        </w:rPr>
        <w:t>云南能源监管办、云南省能源局，并通过政府指定网站和电力交易机构网站向社会公布。</w:t>
      </w:r>
    </w:p>
    <w:p w14:paraId="0349F3B1">
      <w:pPr>
        <w:numPr>
          <w:ilvl w:val="0"/>
          <w:numId w:val="4"/>
        </w:numPr>
        <w:shd w:val="clear"/>
        <w:ind w:firstLine="640"/>
        <w:rPr>
          <w:rFonts w:hint="eastAsia"/>
          <w:highlight w:val="none"/>
        </w:rPr>
      </w:pPr>
      <w:r>
        <w:rPr>
          <w:rFonts w:hint="eastAsia"/>
          <w:highlight w:val="none"/>
        </w:rPr>
        <w:t>电力交易机构可根据市场发展情况，开展经营主体交易行为信用管理，组织交易行为信用评价。各类经营主体违反电力市场规则的行为，经电力市场运营机构核实，请示云南能源监管办、云南省能源局认定后，纳入云南电力市场交易行为信用管理。</w:t>
      </w:r>
    </w:p>
    <w:p w14:paraId="7605906A">
      <w:pPr>
        <w:pStyle w:val="3"/>
        <w:shd w:val="clear"/>
        <w:rPr>
          <w:rFonts w:cs="Times New Roman"/>
          <w:highlight w:val="none"/>
        </w:rPr>
      </w:pPr>
      <w:r>
        <w:rPr>
          <w:rFonts w:hint="eastAsia" w:cs="Times New Roman"/>
          <w:highlight w:val="none"/>
        </w:rPr>
        <w:t>第</w:t>
      </w:r>
      <w:r>
        <w:rPr>
          <w:rFonts w:hint="eastAsia" w:cs="Times New Roman"/>
          <w:highlight w:val="none"/>
          <w:lang w:val="en-US" w:eastAsia="zh-CN"/>
        </w:rPr>
        <w:t>三</w:t>
      </w:r>
      <w:r>
        <w:rPr>
          <w:rFonts w:hint="eastAsia" w:cs="Times New Roman"/>
          <w:highlight w:val="none"/>
        </w:rPr>
        <w:t>章  交易品种和交易方式</w:t>
      </w:r>
    </w:p>
    <w:p w14:paraId="10400B95">
      <w:pPr>
        <w:numPr>
          <w:ilvl w:val="0"/>
          <w:numId w:val="4"/>
        </w:numPr>
        <w:shd w:val="clear"/>
        <w:ind w:firstLine="640"/>
        <w:rPr>
          <w:highlight w:val="none"/>
        </w:rPr>
      </w:pPr>
      <w:r>
        <w:rPr>
          <w:rFonts w:hint="eastAsia"/>
          <w:highlight w:val="none"/>
        </w:rPr>
        <w:t>云南电力中长期交易现阶段主要</w:t>
      </w:r>
      <w:r>
        <w:rPr>
          <w:rFonts w:hint="eastAsia"/>
          <w:highlight w:val="none"/>
          <w:lang w:val="en-US" w:eastAsia="zh-CN"/>
        </w:rPr>
        <w:t>包括</w:t>
      </w:r>
      <w:r>
        <w:rPr>
          <w:rFonts w:hint="eastAsia"/>
          <w:highlight w:val="none"/>
        </w:rPr>
        <w:t>直接开展的电量交易和合同电量转让交易，根据市场发展需要开展输电权、容量等交易。</w:t>
      </w:r>
    </w:p>
    <w:p w14:paraId="0E0CF16D">
      <w:pPr>
        <w:numPr>
          <w:ilvl w:val="0"/>
          <w:numId w:val="4"/>
        </w:numPr>
        <w:shd w:val="clear"/>
        <w:ind w:firstLine="640"/>
        <w:rPr>
          <w:highlight w:val="none"/>
        </w:rPr>
      </w:pPr>
      <w:r>
        <w:rPr>
          <w:rFonts w:hint="eastAsia"/>
          <w:highlight w:val="none"/>
        </w:rPr>
        <w:t>根据交易标的物执行周期不同，中长期电能量交易划分为年（多年）、月（多月）、周（多周）、日（多日）交易等周期。</w:t>
      </w:r>
    </w:p>
    <w:p w14:paraId="672B8E18">
      <w:pPr>
        <w:numPr>
          <w:ilvl w:val="0"/>
          <w:numId w:val="4"/>
        </w:numPr>
        <w:shd w:val="clear"/>
        <w:ind w:firstLine="640"/>
        <w:rPr>
          <w:rFonts w:hint="eastAsia" w:ascii="Times New Roman" w:hAnsi="Times New Roman" w:cs="宋体"/>
          <w:highlight w:val="none"/>
        </w:rPr>
      </w:pPr>
      <w:r>
        <w:rPr>
          <w:rFonts w:hint="eastAsia" w:ascii="Times New Roman" w:hAnsi="Times New Roman" w:eastAsia="仿宋" w:cs="宋体"/>
          <w:kern w:val="2"/>
          <w:highlight w:val="none"/>
          <w:lang w:val="en-US" w:eastAsia="zh-CN"/>
        </w:rPr>
        <w:t>交割时段。参加批发交易的</w:t>
      </w:r>
      <w:r>
        <w:rPr>
          <w:rFonts w:hint="eastAsia" w:cs="宋体"/>
          <w:kern w:val="2"/>
          <w:highlight w:val="none"/>
          <w:lang w:val="en-US" w:eastAsia="zh-CN"/>
        </w:rPr>
        <w:t>经营主体</w:t>
      </w:r>
      <w:r>
        <w:rPr>
          <w:rFonts w:hint="eastAsia" w:ascii="Times New Roman" w:hAnsi="Times New Roman" w:eastAsia="仿宋" w:cs="宋体"/>
          <w:kern w:val="2"/>
          <w:highlight w:val="none"/>
          <w:lang w:val="en-US" w:eastAsia="zh-CN"/>
        </w:rPr>
        <w:t>应签订分时段的电力中长期合同（包括省内市场化交易电量、</w:t>
      </w:r>
      <w:r>
        <w:rPr>
          <w:rFonts w:hint="eastAsia" w:ascii="Times New Roman" w:hAnsi="Times New Roman" w:cs="宋体"/>
          <w:kern w:val="2"/>
          <w:highlight w:val="none"/>
          <w:lang w:val="en-US" w:eastAsia="zh-CN"/>
        </w:rPr>
        <w:t>跨省跨区框架协议</w:t>
      </w:r>
      <w:r>
        <w:rPr>
          <w:rFonts w:hint="eastAsia" w:ascii="Times New Roman" w:hAnsi="Times New Roman" w:eastAsia="仿宋" w:cs="宋体"/>
          <w:kern w:val="2"/>
          <w:highlight w:val="none"/>
          <w:lang w:val="en-US" w:eastAsia="zh-CN"/>
        </w:rPr>
        <w:t>计划电量和市场化电量、代理购电电量），以1小时为最小签约时段（每日24个时段，00:00—01:00为第一个时段）。</w:t>
      </w:r>
    </w:p>
    <w:p w14:paraId="0DFBC07C">
      <w:pPr>
        <w:numPr>
          <w:ilvl w:val="0"/>
          <w:numId w:val="4"/>
        </w:numPr>
        <w:shd w:val="clear"/>
        <w:spacing w:line="560" w:lineRule="exact"/>
        <w:ind w:firstLine="640" w:firstLineChars="200"/>
        <w:jc w:val="both"/>
        <w:rPr>
          <w:rFonts w:hint="eastAsia" w:ascii="Times New Roman" w:hAnsi="Times New Roman" w:eastAsia="仿宋" w:cs="宋体"/>
          <w:w w:val="100"/>
          <w:highlight w:val="none"/>
        </w:rPr>
      </w:pPr>
      <w:r>
        <w:rPr>
          <w:rFonts w:hint="eastAsia" w:ascii="Times New Roman" w:hAnsi="Times New Roman" w:eastAsia="仿宋" w:cs="宋体"/>
          <w:w w:val="100"/>
          <w:highlight w:val="none"/>
        </w:rPr>
        <w:t>电</w:t>
      </w:r>
      <w:r>
        <w:rPr>
          <w:rFonts w:hint="eastAsia" w:cs="宋体"/>
          <w:w w:val="100"/>
          <w:highlight w:val="none"/>
          <w:lang w:val="en-US" w:eastAsia="zh-CN"/>
        </w:rPr>
        <w:t>能</w:t>
      </w:r>
      <w:r>
        <w:rPr>
          <w:rFonts w:hint="eastAsia" w:ascii="Times New Roman" w:hAnsi="Times New Roman" w:eastAsia="仿宋" w:cs="宋体"/>
          <w:w w:val="100"/>
          <w:highlight w:val="none"/>
        </w:rPr>
        <w:t>量交易是指发电企业</w:t>
      </w:r>
      <w:r>
        <w:rPr>
          <w:rFonts w:hint="eastAsia" w:ascii="Times New Roman" w:hAnsi="Times New Roman" w:cs="宋体"/>
          <w:w w:val="100"/>
          <w:highlight w:val="none"/>
          <w:lang w:eastAsia="zh-CN"/>
        </w:rPr>
        <w:t>、</w:t>
      </w:r>
      <w:r>
        <w:rPr>
          <w:rFonts w:hint="eastAsia" w:ascii="Times New Roman" w:hAnsi="Times New Roman" w:eastAsia="仿宋" w:cs="宋体"/>
          <w:w w:val="100"/>
          <w:highlight w:val="none"/>
        </w:rPr>
        <w:t>售电公司、批发用户</w:t>
      </w:r>
      <w:r>
        <w:rPr>
          <w:rFonts w:hint="eastAsia" w:cs="宋体"/>
          <w:w w:val="100"/>
          <w:highlight w:val="none"/>
          <w:lang w:eastAsia="zh-CN"/>
        </w:rPr>
        <w:t>、</w:t>
      </w:r>
      <w:r>
        <w:rPr>
          <w:rFonts w:hint="eastAsia" w:ascii="Times New Roman" w:hAnsi="Times New Roman" w:eastAsia="仿宋" w:cs="宋体"/>
          <w:w w:val="100"/>
          <w:highlight w:val="none"/>
        </w:rPr>
        <w:t>电网企业（代理购电）</w:t>
      </w:r>
      <w:r>
        <w:rPr>
          <w:rFonts w:hint="eastAsia" w:cs="宋体"/>
          <w:w w:val="100"/>
          <w:highlight w:val="none"/>
          <w:lang w:val="en-US" w:eastAsia="zh-CN"/>
        </w:rPr>
        <w:t>和新型经营主体</w:t>
      </w:r>
      <w:r>
        <w:rPr>
          <w:rFonts w:hint="eastAsia" w:ascii="Times New Roman" w:hAnsi="Times New Roman" w:cs="宋体"/>
          <w:w w:val="100"/>
          <w:highlight w:val="none"/>
          <w:lang w:val="en-US" w:eastAsia="zh-CN"/>
        </w:rPr>
        <w:t>参与</w:t>
      </w:r>
      <w:r>
        <w:rPr>
          <w:rFonts w:hint="eastAsia" w:ascii="Times New Roman" w:hAnsi="Times New Roman" w:eastAsia="仿宋" w:cs="宋体"/>
          <w:w w:val="100"/>
          <w:highlight w:val="none"/>
        </w:rPr>
        <w:t>的</w:t>
      </w:r>
      <w:r>
        <w:rPr>
          <w:rFonts w:hint="eastAsia"/>
          <w:highlight w:val="none"/>
        </w:rPr>
        <w:t>直接开展的</w:t>
      </w:r>
      <w:r>
        <w:rPr>
          <w:rFonts w:hint="eastAsia" w:ascii="Times New Roman" w:hAnsi="Times New Roman" w:eastAsia="仿宋" w:cs="宋体"/>
          <w:w w:val="100"/>
          <w:highlight w:val="none"/>
        </w:rPr>
        <w:t>电能量交易。</w:t>
      </w:r>
      <w:r>
        <w:rPr>
          <w:rFonts w:hint="eastAsia"/>
          <w:highlight w:val="none"/>
        </w:rPr>
        <w:t>直接开展的</w:t>
      </w:r>
      <w:r>
        <w:rPr>
          <w:rFonts w:hint="eastAsia" w:ascii="Times New Roman" w:hAnsi="Times New Roman" w:eastAsia="仿宋" w:cs="宋体"/>
          <w:w w:val="100"/>
          <w:highlight w:val="none"/>
        </w:rPr>
        <w:t>电</w:t>
      </w:r>
      <w:r>
        <w:rPr>
          <w:rFonts w:hint="eastAsia" w:cs="宋体"/>
          <w:w w:val="100"/>
          <w:highlight w:val="none"/>
          <w:lang w:val="en-US" w:eastAsia="zh-CN"/>
        </w:rPr>
        <w:t>能</w:t>
      </w:r>
      <w:r>
        <w:rPr>
          <w:rFonts w:hint="eastAsia" w:ascii="Times New Roman" w:hAnsi="Times New Roman" w:eastAsia="仿宋" w:cs="宋体"/>
          <w:w w:val="100"/>
          <w:highlight w:val="none"/>
        </w:rPr>
        <w:t>量交易主要包括：优先发电计划电量、跨省中长期市场化交易电量、省内中长期直接交易电量、电网</w:t>
      </w:r>
      <w:r>
        <w:rPr>
          <w:rFonts w:hint="eastAsia" w:cs="宋体"/>
          <w:w w:val="100"/>
          <w:highlight w:val="none"/>
          <w:lang w:val="en-US" w:eastAsia="zh-CN"/>
        </w:rPr>
        <w:t>企业</w:t>
      </w:r>
      <w:r>
        <w:rPr>
          <w:rFonts w:hint="eastAsia" w:ascii="Times New Roman" w:hAnsi="Times New Roman" w:eastAsia="仿宋" w:cs="宋体"/>
          <w:w w:val="100"/>
          <w:highlight w:val="none"/>
        </w:rPr>
        <w:t>代理购电交易电量</w:t>
      </w:r>
      <w:r>
        <w:rPr>
          <w:rFonts w:hint="eastAsia" w:ascii="Times New Roman" w:hAnsi="Times New Roman" w:cs="宋体"/>
          <w:w w:val="100"/>
          <w:highlight w:val="none"/>
          <w:lang w:val="en-US" w:eastAsia="zh-CN"/>
        </w:rPr>
        <w:t>及</w:t>
      </w:r>
      <w:r>
        <w:rPr>
          <w:rFonts w:hint="eastAsia" w:ascii="Times New Roman" w:hAnsi="Times New Roman" w:eastAsia="仿宋" w:cs="华文仿宋"/>
          <w:color w:val="auto"/>
          <w:highlight w:val="none"/>
        </w:rPr>
        <w:t>绿色电力交易</w:t>
      </w:r>
      <w:r>
        <w:rPr>
          <w:rFonts w:hint="eastAsia" w:ascii="Times New Roman" w:hAnsi="Times New Roman" w:eastAsia="仿宋" w:cs="宋体"/>
          <w:w w:val="100"/>
          <w:highlight w:val="none"/>
        </w:rPr>
        <w:t>。</w:t>
      </w:r>
      <w:r>
        <w:rPr>
          <w:rFonts w:hint="eastAsia" w:ascii="Times New Roman" w:hAnsi="Times New Roman" w:cs="宋体"/>
          <w:w w:val="100"/>
          <w:highlight w:val="none"/>
          <w:lang w:val="en-US" w:eastAsia="zh-CN"/>
        </w:rPr>
        <w:t>以上交易品种均</w:t>
      </w:r>
      <w:r>
        <w:rPr>
          <w:rFonts w:hint="eastAsia" w:ascii="Times New Roman" w:hAnsi="Times New Roman" w:eastAsia="仿宋" w:cs="华文仿宋"/>
          <w:color w:val="auto"/>
          <w:highlight w:val="none"/>
        </w:rPr>
        <w:t>纳入电力中长期交易管理范畴</w:t>
      </w:r>
      <w:r>
        <w:rPr>
          <w:rFonts w:hint="eastAsia" w:ascii="Times New Roman" w:hAnsi="Times New Roman" w:cs="华文仿宋"/>
          <w:color w:val="auto"/>
          <w:highlight w:val="none"/>
          <w:lang w:eastAsia="zh-CN"/>
        </w:rPr>
        <w:t>。</w:t>
      </w:r>
    </w:p>
    <w:p w14:paraId="624C16A6">
      <w:pPr>
        <w:numPr>
          <w:ilvl w:val="0"/>
          <w:numId w:val="5"/>
        </w:numPr>
        <w:shd w:val="clear"/>
        <w:spacing w:line="560" w:lineRule="exact"/>
        <w:ind w:firstLine="640" w:firstLineChars="200"/>
        <w:jc w:val="both"/>
        <w:rPr>
          <w:rFonts w:hint="eastAsia" w:ascii="Times New Roman" w:hAnsi="Times New Roman" w:eastAsia="仿宋" w:cs="宋体"/>
          <w:w w:val="100"/>
          <w:highlight w:val="none"/>
        </w:rPr>
      </w:pPr>
      <w:r>
        <w:rPr>
          <w:rFonts w:hint="eastAsia" w:ascii="Times New Roman" w:hAnsi="Times New Roman" w:eastAsia="仿宋" w:cs="宋体"/>
          <w:w w:val="100"/>
          <w:highlight w:val="none"/>
        </w:rPr>
        <w:t>优先发电计划电量是指</w:t>
      </w:r>
      <w:r>
        <w:rPr>
          <w:rFonts w:hint="eastAsia"/>
          <w:highlight w:val="none"/>
        </w:rPr>
        <w:t>国家指令性计划</w:t>
      </w:r>
      <w:r>
        <w:rPr>
          <w:rFonts w:hint="eastAsia"/>
          <w:highlight w:val="none"/>
          <w:lang w:val="en-US" w:eastAsia="zh-CN"/>
        </w:rPr>
        <w:t>和</w:t>
      </w:r>
      <w:r>
        <w:rPr>
          <w:rFonts w:hint="eastAsia" w:ascii="Times New Roman" w:hAnsi="Times New Roman" w:eastAsia="仿宋" w:cs="宋体"/>
          <w:w w:val="100"/>
          <w:highlight w:val="none"/>
        </w:rPr>
        <w:t>云南省能源局通过优先发电计划规定明确的计划电量，包括省内优先发电计划电量和跨省优先发电计划电量。</w:t>
      </w:r>
    </w:p>
    <w:p w14:paraId="2542DEDE">
      <w:pPr>
        <w:numPr>
          <w:ilvl w:val="0"/>
          <w:numId w:val="5"/>
        </w:numPr>
        <w:shd w:val="clear"/>
        <w:spacing w:before="21" w:line="560" w:lineRule="exact"/>
        <w:ind w:right="122" w:firstLine="640" w:firstLineChars="200"/>
        <w:jc w:val="both"/>
        <w:rPr>
          <w:rFonts w:hint="eastAsia" w:ascii="Times New Roman" w:hAnsi="Times New Roman" w:eastAsia="仿宋" w:cs="宋体"/>
          <w:w w:val="100"/>
          <w:highlight w:val="none"/>
        </w:rPr>
      </w:pPr>
      <w:r>
        <w:rPr>
          <w:rFonts w:hint="eastAsia" w:ascii="Times New Roman" w:hAnsi="Times New Roman" w:eastAsia="仿宋" w:cs="宋体"/>
          <w:w w:val="100"/>
          <w:highlight w:val="none"/>
        </w:rPr>
        <w:t>跨省中长期市场化交易电量按照南方区域电能量交易有关规则执行。</w:t>
      </w:r>
    </w:p>
    <w:p w14:paraId="46821343">
      <w:pPr>
        <w:numPr>
          <w:ilvl w:val="0"/>
          <w:numId w:val="5"/>
        </w:numPr>
        <w:shd w:val="clear"/>
        <w:spacing w:line="560" w:lineRule="exact"/>
        <w:ind w:firstLine="640" w:firstLineChars="200"/>
        <w:jc w:val="both"/>
        <w:rPr>
          <w:rFonts w:hint="eastAsia" w:ascii="Times New Roman" w:hAnsi="Times New Roman" w:eastAsia="仿宋" w:cs="宋体"/>
          <w:w w:val="100"/>
          <w:highlight w:val="none"/>
        </w:rPr>
      </w:pPr>
      <w:r>
        <w:rPr>
          <w:rFonts w:hint="eastAsia" w:ascii="Times New Roman" w:hAnsi="Times New Roman" w:eastAsia="仿宋" w:cs="宋体"/>
          <w:w w:val="100"/>
          <w:highlight w:val="none"/>
        </w:rPr>
        <w:t>省内中长期直接交易电量是指</w:t>
      </w:r>
      <w:r>
        <w:rPr>
          <w:rFonts w:hint="eastAsia"/>
          <w:szCs w:val="32"/>
          <w:highlight w:val="none"/>
          <w:lang w:val="en-US" w:eastAsia="zh-CN"/>
        </w:rPr>
        <w:t>电力交易机构</w:t>
      </w:r>
      <w:r>
        <w:rPr>
          <w:rFonts w:hint="eastAsia" w:ascii="Times New Roman" w:hAnsi="Times New Roman" w:eastAsia="仿宋" w:cs="宋体"/>
          <w:w w:val="100"/>
          <w:highlight w:val="none"/>
        </w:rPr>
        <w:t>组织的，发电企业作为售电方，售电公司、批发用户作为购电方，在省内集中交易、双边协商等交易中所交易的电量。</w:t>
      </w:r>
    </w:p>
    <w:p w14:paraId="5972C102">
      <w:pPr>
        <w:numPr>
          <w:ilvl w:val="0"/>
          <w:numId w:val="5"/>
        </w:numPr>
        <w:shd w:val="clear"/>
        <w:spacing w:line="560" w:lineRule="exact"/>
        <w:ind w:firstLine="640" w:firstLineChars="200"/>
        <w:jc w:val="both"/>
        <w:rPr>
          <w:rFonts w:hint="eastAsia"/>
          <w:highlight w:val="none"/>
        </w:rPr>
      </w:pPr>
      <w:r>
        <w:rPr>
          <w:rFonts w:hint="eastAsia" w:ascii="Times New Roman" w:hAnsi="Times New Roman" w:eastAsia="仿宋" w:cs="宋体"/>
          <w:w w:val="100"/>
          <w:highlight w:val="none"/>
        </w:rPr>
        <w:t>电网企业代理购电交易电量是暂未直接从电力市场购电和已直接参与电力市场交易又退出的工商业用户由电网企业代理参与电力市场购电电量</w:t>
      </w:r>
      <w:r>
        <w:rPr>
          <w:rFonts w:hint="eastAsia" w:cs="宋体"/>
          <w:w w:val="100"/>
          <w:highlight w:val="none"/>
          <w:lang w:eastAsia="zh-CN"/>
        </w:rPr>
        <w:t>，代理工商业用户购电的偏差电量应按照现货市场价格结算（</w:t>
      </w:r>
      <w:r>
        <w:rPr>
          <w:rFonts w:hint="eastAsia" w:cs="宋体"/>
          <w:w w:val="100"/>
          <w:highlight w:val="none"/>
          <w:lang w:val="en-US" w:eastAsia="zh-CN"/>
        </w:rPr>
        <w:t>非现货市场运行期间则按照省内代理购电相关要求执行</w:t>
      </w:r>
      <w:r>
        <w:rPr>
          <w:rFonts w:hint="eastAsia" w:cs="宋体"/>
          <w:w w:val="100"/>
          <w:highlight w:val="none"/>
          <w:lang w:eastAsia="zh-CN"/>
        </w:rPr>
        <w:t>），</w:t>
      </w:r>
      <w:r>
        <w:rPr>
          <w:rFonts w:hint="eastAsia"/>
          <w:highlight w:val="none"/>
        </w:rPr>
        <w:t>为保障居民、农业用电价格稳定产生的新增损益，由全体工商业用户分摊或分享</w:t>
      </w:r>
      <w:r>
        <w:rPr>
          <w:rFonts w:hint="eastAsia" w:ascii="Times New Roman" w:hAnsi="Times New Roman" w:eastAsia="仿宋" w:cs="宋体"/>
          <w:w w:val="100"/>
          <w:highlight w:val="none"/>
        </w:rPr>
        <w:t>。</w:t>
      </w:r>
      <w:r>
        <w:rPr>
          <w:rFonts w:hint="eastAsia"/>
          <w:highlight w:val="none"/>
        </w:rPr>
        <w:t>电网企业代理购电交易时，电网企业应根据本</w:t>
      </w:r>
      <w:r>
        <w:rPr>
          <w:rFonts w:hint="eastAsia"/>
          <w:highlight w:val="none"/>
          <w:lang w:val="en-US" w:eastAsia="zh-CN"/>
        </w:rPr>
        <w:t>细则</w:t>
      </w:r>
      <w:r>
        <w:rPr>
          <w:rFonts w:hint="eastAsia"/>
          <w:highlight w:val="none"/>
        </w:rPr>
        <w:t>中的中长期交易时段划分确定分时曲线。电网企业代理购电</w:t>
      </w:r>
      <w:r>
        <w:rPr>
          <w:rFonts w:hint="eastAsia"/>
          <w:highlight w:val="none"/>
          <w:lang w:val="en-US" w:eastAsia="zh-CN"/>
        </w:rPr>
        <w:t>的相关要求，参照</w:t>
      </w:r>
      <w:r>
        <w:rPr>
          <w:rFonts w:hint="eastAsia"/>
          <w:highlight w:val="none"/>
        </w:rPr>
        <w:t>国家和云南省关于电网企业代理购电有关规定</w:t>
      </w:r>
      <w:r>
        <w:rPr>
          <w:rFonts w:hint="eastAsia"/>
          <w:highlight w:val="none"/>
          <w:lang w:val="en-US" w:eastAsia="zh-CN"/>
        </w:rPr>
        <w:t>执行</w:t>
      </w:r>
      <w:r>
        <w:rPr>
          <w:rFonts w:hint="eastAsia"/>
          <w:highlight w:val="none"/>
        </w:rPr>
        <w:t>。</w:t>
      </w:r>
    </w:p>
    <w:p w14:paraId="0DF15EFD">
      <w:pPr>
        <w:numPr>
          <w:ilvl w:val="0"/>
          <w:numId w:val="5"/>
        </w:numPr>
        <w:shd w:val="clear"/>
        <w:spacing w:line="560" w:lineRule="exact"/>
        <w:ind w:firstLine="640"/>
        <w:rPr>
          <w:rFonts w:hint="eastAsia" w:ascii="Times New Roman" w:hAnsi="Times New Roman" w:eastAsia="仿宋" w:cs="宋体"/>
          <w:w w:val="100"/>
          <w:highlight w:val="none"/>
        </w:rPr>
      </w:pPr>
      <w:r>
        <w:rPr>
          <w:rFonts w:hint="eastAsia" w:ascii="Times New Roman" w:hAnsi="Times New Roman" w:eastAsia="仿宋" w:cs="宋体"/>
          <w:w w:val="100"/>
          <w:highlight w:val="none"/>
        </w:rPr>
        <w:t>省内中长期直接交易电量和电网代理购电交易电量合称为省内中长期交易电量；跨省优先发电计划电量和跨省中长期市场化交易电量合称为跨省中长期交易电量，跨省中长期交易电量按</w:t>
      </w:r>
      <w:r>
        <w:rPr>
          <w:rFonts w:hint="eastAsia" w:cs="宋体"/>
          <w:w w:val="100"/>
          <w:highlight w:val="none"/>
          <w:lang w:val="en-US" w:eastAsia="zh-CN"/>
        </w:rPr>
        <w:t>南方区域</w:t>
      </w:r>
      <w:r>
        <w:rPr>
          <w:rFonts w:hint="eastAsia" w:ascii="Times New Roman" w:hAnsi="Times New Roman" w:eastAsia="仿宋" w:cs="宋体"/>
          <w:w w:val="100"/>
          <w:highlight w:val="none"/>
        </w:rPr>
        <w:t>跨省中长期交易机制进行衔接。</w:t>
      </w:r>
    </w:p>
    <w:p w14:paraId="5DE84986">
      <w:pPr>
        <w:numPr>
          <w:ilvl w:val="0"/>
          <w:numId w:val="5"/>
        </w:numPr>
        <w:shd w:val="clear"/>
        <w:spacing w:line="560" w:lineRule="exact"/>
        <w:ind w:firstLine="640"/>
        <w:rPr>
          <w:rFonts w:hint="eastAsia" w:ascii="Times New Roman" w:hAnsi="Times New Roman" w:cs="宋体"/>
          <w:highlight w:val="none"/>
        </w:rPr>
      </w:pPr>
      <w:r>
        <w:rPr>
          <w:rFonts w:hint="eastAsia" w:ascii="Times New Roman" w:hAnsi="Times New Roman" w:cs="宋体"/>
          <w:highlight w:val="none"/>
        </w:rPr>
        <w:t>绿色电力交易是指以绿色电力和对应绿色电力环境价值为标的物的电力交易品种，交易电力同时提供国家核发的可再生能源绿色电力证书</w:t>
      </w:r>
      <w:r>
        <w:rPr>
          <w:rFonts w:hint="eastAsia" w:cs="宋体"/>
          <w:highlight w:val="none"/>
          <w:lang w:eastAsia="zh-CN"/>
        </w:rPr>
        <w:t>（</w:t>
      </w:r>
      <w:r>
        <w:rPr>
          <w:rFonts w:hint="eastAsia" w:ascii="仿宋" w:hAnsi="仿宋" w:cs="仿宋"/>
          <w:highlight w:val="none"/>
        </w:rPr>
        <w:t>以下简称绿证</w:t>
      </w:r>
      <w:r>
        <w:rPr>
          <w:rFonts w:hint="eastAsia" w:ascii="仿宋" w:hAnsi="仿宋" w:cs="仿宋"/>
          <w:highlight w:val="none"/>
          <w:lang w:eastAsia="zh-CN"/>
        </w:rPr>
        <w:t>）</w:t>
      </w:r>
      <w:r>
        <w:rPr>
          <w:rFonts w:hint="eastAsia" w:ascii="Times New Roman" w:hAnsi="Times New Roman" w:cs="宋体"/>
          <w:highlight w:val="none"/>
        </w:rPr>
        <w:t>，用以满足发电企业、售电公司、电力用户等出售、购买绿色电力的需求</w:t>
      </w:r>
      <w:r>
        <w:rPr>
          <w:rFonts w:hint="eastAsia" w:cs="宋体"/>
          <w:highlight w:val="none"/>
          <w:lang w:eastAsia="zh-CN"/>
        </w:rPr>
        <w:t>。</w:t>
      </w:r>
      <w:r>
        <w:rPr>
          <w:rFonts w:hint="eastAsia" w:cs="宋体"/>
          <w:highlight w:val="none"/>
          <w:lang w:val="en-US" w:eastAsia="zh-CN"/>
        </w:rPr>
        <w:t>具体要求</w:t>
      </w:r>
      <w:r>
        <w:rPr>
          <w:rFonts w:hint="eastAsia" w:ascii="Times New Roman" w:hAnsi="Times New Roman" w:cs="宋体"/>
          <w:highlight w:val="none"/>
        </w:rPr>
        <w:t>按照绿色电力交易有关规则执行。</w:t>
      </w:r>
    </w:p>
    <w:p w14:paraId="11DAA8AA">
      <w:pPr>
        <w:keepNext w:val="0"/>
        <w:keepLines w:val="0"/>
        <w:numPr>
          <w:ilvl w:val="0"/>
          <w:numId w:val="4"/>
        </w:numPr>
        <w:shd w:val="clear"/>
        <w:snapToGrid/>
        <w:spacing w:before="0" w:beforeLines="-2147483648" w:line="560" w:lineRule="exact"/>
        <w:ind w:left="0" w:firstLine="640"/>
        <w:outlineLvl w:val="9"/>
        <w:rPr>
          <w:rFonts w:hint="eastAsia" w:ascii="Times New Roman" w:hAnsi="Times New Roman" w:eastAsia="仿宋" w:cs="Times New Roman"/>
          <w:b w:val="0"/>
          <w:bCs w:val="0"/>
          <w:kern w:val="2"/>
          <w:sz w:val="32"/>
          <w:szCs w:val="32"/>
          <w:highlight w:val="none"/>
        </w:rPr>
      </w:pPr>
      <w:bookmarkStart w:id="0" w:name="_Toc9931"/>
      <w:bookmarkStart w:id="1" w:name="_Toc21029"/>
      <w:r>
        <w:rPr>
          <w:rFonts w:hint="eastAsia" w:cs="Times New Roman"/>
          <w:b w:val="0"/>
          <w:bCs w:val="0"/>
          <w:color w:val="auto"/>
          <w:kern w:val="2"/>
          <w:sz w:val="32"/>
          <w:szCs w:val="32"/>
          <w:highlight w:val="none"/>
          <w:lang w:val="en-US" w:eastAsia="zh-CN"/>
        </w:rPr>
        <w:t>省内中长期交易与</w:t>
      </w:r>
      <w:r>
        <w:rPr>
          <w:rFonts w:hint="default" w:ascii="Times New Roman" w:hAnsi="Times New Roman" w:eastAsia="仿宋" w:cs="Times New Roman"/>
          <w:b w:val="0"/>
          <w:bCs w:val="0"/>
          <w:color w:val="auto"/>
          <w:kern w:val="2"/>
          <w:sz w:val="32"/>
          <w:szCs w:val="32"/>
          <w:highlight w:val="none"/>
        </w:rPr>
        <w:t>省内优先发电计划衔接</w:t>
      </w:r>
      <w:bookmarkEnd w:id="0"/>
      <w:bookmarkEnd w:id="1"/>
      <w:r>
        <w:rPr>
          <w:rFonts w:hint="default" w:ascii="Times New Roman" w:hAnsi="Times New Roman" w:cs="Times New Roman"/>
          <w:b w:val="0"/>
          <w:bCs w:val="0"/>
          <w:kern w:val="2"/>
          <w:sz w:val="32"/>
          <w:szCs w:val="32"/>
          <w:highlight w:val="none"/>
          <w:lang w:eastAsia="zh-CN"/>
        </w:rPr>
        <w:t>。</w:t>
      </w:r>
      <w:r>
        <w:rPr>
          <w:rFonts w:hint="default" w:cs="Times New Roman"/>
          <w:szCs w:val="32"/>
          <w:highlight w:val="none"/>
        </w:rPr>
        <w:t>根据云南省能源局对省内优先发电计划分配的有关规定，明确省内优先发电计划的执行责任主体。云南电网公司与相关发电企业应确保省内优先发电计划在市场化交易前优先足额落实，作为省内市场化交易的边界。</w:t>
      </w:r>
    </w:p>
    <w:p w14:paraId="76492C35">
      <w:pPr>
        <w:keepNext w:val="0"/>
        <w:keepLines w:val="0"/>
        <w:numPr>
          <w:ilvl w:val="0"/>
          <w:numId w:val="4"/>
        </w:numPr>
        <w:shd w:val="clear"/>
        <w:snapToGrid/>
        <w:spacing w:before="0" w:beforeLines="-2147483648" w:line="560" w:lineRule="exact"/>
        <w:ind w:left="0" w:firstLine="640"/>
        <w:outlineLvl w:val="9"/>
        <w:rPr>
          <w:rFonts w:hint="eastAsia" w:ascii="方正仿宋_GBK" w:hAnsi="方正仿宋_GBK" w:eastAsia="方正仿宋_GBK" w:cs="方正仿宋_GBK"/>
          <w:b w:val="0"/>
          <w:bCs w:val="0"/>
          <w:color w:val="auto"/>
          <w:kern w:val="2"/>
          <w:sz w:val="30"/>
          <w:szCs w:val="30"/>
          <w:highlight w:val="none"/>
        </w:rPr>
      </w:pPr>
      <w:r>
        <w:rPr>
          <w:rFonts w:hint="eastAsia"/>
          <w:highlight w:val="none"/>
          <w:lang w:val="en-US" w:eastAsia="zh-CN"/>
        </w:rPr>
        <w:t>省内中长期交易与</w:t>
      </w:r>
      <w:r>
        <w:rPr>
          <w:rFonts w:hint="eastAsia"/>
          <w:highlight w:val="none"/>
        </w:rPr>
        <w:t>跨省电力</w:t>
      </w:r>
      <w:r>
        <w:rPr>
          <w:rFonts w:hint="default" w:cs="Times New Roman"/>
          <w:szCs w:val="32"/>
          <w:highlight w:val="none"/>
        </w:rPr>
        <w:t>中长期</w:t>
      </w:r>
      <w:r>
        <w:rPr>
          <w:rFonts w:hint="eastAsia"/>
          <w:highlight w:val="none"/>
        </w:rPr>
        <w:t>交易衔接</w:t>
      </w:r>
      <w:r>
        <w:rPr>
          <w:rFonts w:hint="eastAsia"/>
          <w:highlight w:val="none"/>
          <w:lang w:eastAsia="zh-CN"/>
        </w:rPr>
        <w:t>。</w:t>
      </w:r>
      <w:r>
        <w:rPr>
          <w:highlight w:val="none"/>
        </w:rPr>
        <w:commentReference w:id="1"/>
      </w:r>
      <w:r>
        <w:rPr>
          <w:rFonts w:hint="eastAsia" w:ascii="Times New Roman" w:hAnsi="Times New Roman" w:eastAsia="仿宋" w:cs="华文仿宋"/>
          <w:kern w:val="2"/>
          <w:highlight w:val="none"/>
        </w:rPr>
        <w:t>云南省内</w:t>
      </w:r>
      <w:r>
        <w:rPr>
          <w:rFonts w:hint="eastAsia" w:cs="华文仿宋"/>
          <w:kern w:val="2"/>
          <w:highlight w:val="none"/>
          <w:lang w:eastAsia="zh-CN"/>
        </w:rPr>
        <w:t>经营主体</w:t>
      </w:r>
      <w:r>
        <w:rPr>
          <w:rFonts w:hint="eastAsia" w:ascii="Times New Roman" w:hAnsi="Times New Roman" w:eastAsia="仿宋" w:cs="华文仿宋"/>
          <w:kern w:val="2"/>
          <w:highlight w:val="none"/>
        </w:rPr>
        <w:t>的跨省中长期交易电量，按如下原则衔接：</w:t>
      </w:r>
    </w:p>
    <w:p w14:paraId="0EC179B1">
      <w:pPr>
        <w:numPr>
          <w:ilvl w:val="0"/>
          <w:numId w:val="6"/>
        </w:numPr>
        <w:shd w:val="clear"/>
        <w:spacing w:before="21" w:line="560" w:lineRule="exact"/>
        <w:ind w:right="122" w:firstLine="640" w:firstLineChars="200"/>
        <w:jc w:val="both"/>
        <w:rPr>
          <w:rFonts w:ascii="Times New Roman" w:hAnsi="Times New Roman" w:eastAsia="仿宋" w:cs="华文仿宋"/>
          <w:kern w:val="2"/>
          <w:highlight w:val="none"/>
        </w:rPr>
      </w:pPr>
      <w:r>
        <w:rPr>
          <w:rFonts w:hint="eastAsia" w:ascii="Times New Roman" w:hAnsi="Times New Roman" w:eastAsia="仿宋" w:cs="华文仿宋"/>
          <w:kern w:val="2"/>
          <w:highlight w:val="none"/>
        </w:rPr>
        <w:t>根据国家指令性计划、政府间框架协议确定跨省优先发电计划电量及分时曲线。</w:t>
      </w:r>
    </w:p>
    <w:p w14:paraId="63CDDF77">
      <w:pPr>
        <w:numPr>
          <w:ilvl w:val="0"/>
          <w:numId w:val="6"/>
        </w:numPr>
        <w:shd w:val="clear"/>
        <w:spacing w:before="21" w:line="560" w:lineRule="exact"/>
        <w:ind w:right="122" w:firstLine="640" w:firstLineChars="200"/>
        <w:jc w:val="both"/>
        <w:rPr>
          <w:rFonts w:ascii="Times New Roman" w:hAnsi="Times New Roman" w:eastAsia="仿宋" w:cs="华文仿宋"/>
          <w:kern w:val="2"/>
          <w:highlight w:val="none"/>
        </w:rPr>
      </w:pPr>
      <w:r>
        <w:rPr>
          <w:rFonts w:hint="eastAsia" w:ascii="Times New Roman" w:hAnsi="Times New Roman" w:eastAsia="仿宋" w:cs="宋体"/>
          <w:kern w:val="2"/>
          <w:highlight w:val="none"/>
        </w:rPr>
        <w:t>根据</w:t>
      </w:r>
      <w:r>
        <w:rPr>
          <w:rFonts w:hint="eastAsia" w:ascii="Times New Roman" w:hAnsi="Times New Roman" w:eastAsia="仿宋" w:cs="华文仿宋"/>
          <w:kern w:val="2"/>
          <w:highlight w:val="none"/>
        </w:rPr>
        <w:t>云南省能源局对跨省优先发电计划电量分配的有关规定、“网对网”跨省中长期市场化交易</w:t>
      </w:r>
      <w:r>
        <w:rPr>
          <w:rFonts w:hint="eastAsia" w:ascii="Times New Roman" w:hAnsi="Times New Roman" w:eastAsia="仿宋" w:cs="华文仿宋"/>
          <w:kern w:val="2"/>
          <w:highlight w:val="none"/>
          <w:lang w:val="en-US" w:eastAsia="zh-CN"/>
        </w:rPr>
        <w:t>结果</w:t>
      </w:r>
      <w:r>
        <w:rPr>
          <w:rFonts w:hint="eastAsia" w:ascii="Times New Roman" w:hAnsi="Times New Roman" w:eastAsia="仿宋" w:cs="华文仿宋"/>
          <w:kern w:val="2"/>
          <w:highlight w:val="none"/>
        </w:rPr>
        <w:t>，</w:t>
      </w:r>
      <w:r>
        <w:rPr>
          <w:rFonts w:hint="eastAsia" w:ascii="Times New Roman" w:hAnsi="Times New Roman" w:eastAsia="仿宋" w:cs="华文仿宋"/>
          <w:kern w:val="2"/>
          <w:highlight w:val="none"/>
          <w:lang w:val="en-US" w:eastAsia="zh-CN"/>
        </w:rPr>
        <w:t>形成</w:t>
      </w:r>
      <w:r>
        <w:rPr>
          <w:rFonts w:hint="eastAsia" w:ascii="Times New Roman" w:hAnsi="Times New Roman" w:eastAsia="仿宋" w:cs="华文仿宋"/>
          <w:kern w:val="2"/>
          <w:highlight w:val="none"/>
        </w:rPr>
        <w:t>跨省中长期交易的执行责任主体。</w:t>
      </w:r>
    </w:p>
    <w:p w14:paraId="6B222F40">
      <w:pPr>
        <w:numPr>
          <w:ilvl w:val="0"/>
          <w:numId w:val="6"/>
        </w:numPr>
        <w:shd w:val="clear"/>
        <w:spacing w:before="21" w:line="560" w:lineRule="exact"/>
        <w:ind w:right="122" w:firstLine="640" w:firstLineChars="200"/>
        <w:jc w:val="both"/>
        <w:rPr>
          <w:rFonts w:hint="eastAsia" w:ascii="Times New Roman" w:hAnsi="Times New Roman" w:eastAsia="仿宋" w:cs="华文仿宋"/>
          <w:kern w:val="2"/>
          <w:highlight w:val="none"/>
        </w:rPr>
      </w:pPr>
      <w:r>
        <w:rPr>
          <w:rFonts w:hint="eastAsia" w:ascii="Times New Roman" w:hAnsi="Times New Roman" w:eastAsia="仿宋" w:cs="华文仿宋"/>
          <w:kern w:val="2"/>
          <w:highlight w:val="none"/>
        </w:rPr>
        <w:t>云南电网公司根据跨省优先发电计划和跨省中长期市场化交易结果，负责按时在电力交易平台填报跨省优先发电计划、“网对网”跨省市场交易合同电量及分时电力曲线的事前计划、</w:t>
      </w:r>
      <w:r>
        <w:rPr>
          <w:rFonts w:hint="eastAsia" w:ascii="Times New Roman" w:hAnsi="Times New Roman" w:eastAsia="仿宋" w:cs="华文仿宋"/>
          <w:kern w:val="2"/>
          <w:highlight w:val="none"/>
          <w:lang w:val="en-US" w:eastAsia="zh-CN"/>
        </w:rPr>
        <w:t>事前</w:t>
      </w:r>
      <w:r>
        <w:rPr>
          <w:rFonts w:hint="eastAsia" w:ascii="Times New Roman" w:hAnsi="Times New Roman" w:eastAsia="仿宋" w:cs="华文仿宋"/>
          <w:kern w:val="2"/>
          <w:highlight w:val="none"/>
        </w:rPr>
        <w:t>调整计划情况，以及上述电量和曲线可分配至市场化电厂的值。</w:t>
      </w:r>
    </w:p>
    <w:p w14:paraId="793F8352">
      <w:pPr>
        <w:numPr>
          <w:ilvl w:val="0"/>
          <w:numId w:val="6"/>
        </w:numPr>
        <w:shd w:val="clear"/>
        <w:spacing w:before="21" w:line="560" w:lineRule="exact"/>
        <w:ind w:right="122" w:firstLine="640" w:firstLineChars="200"/>
        <w:jc w:val="both"/>
        <w:rPr>
          <w:rFonts w:hint="eastAsia" w:ascii="Times New Roman" w:hAnsi="Times New Roman" w:eastAsia="仿宋" w:cs="华文仿宋"/>
          <w:kern w:val="2"/>
          <w:highlight w:val="none"/>
        </w:rPr>
      </w:pPr>
      <w:r>
        <w:rPr>
          <w:rFonts w:hint="eastAsia" w:ascii="Times New Roman" w:hAnsi="Times New Roman" w:eastAsia="仿宋" w:cs="华文仿宋"/>
          <w:kern w:val="2"/>
          <w:highlight w:val="none"/>
        </w:rPr>
        <w:t>电力交易机构根据云南电网公司提供的数据，按照云南省能源局明确的分配原则</w:t>
      </w:r>
      <w:r>
        <w:rPr>
          <w:rFonts w:hint="eastAsia" w:ascii="Times New Roman" w:hAnsi="Times New Roman" w:eastAsia="仿宋" w:cs="华文仿宋"/>
          <w:kern w:val="2"/>
          <w:highlight w:val="none"/>
          <w:lang w:val="en-US" w:eastAsia="zh-CN"/>
        </w:rPr>
        <w:t>及市场化交易形成的责任主体</w:t>
      </w:r>
      <w:r>
        <w:rPr>
          <w:rFonts w:hint="eastAsia" w:ascii="Times New Roman" w:hAnsi="Times New Roman" w:eastAsia="仿宋" w:cs="华文仿宋"/>
          <w:kern w:val="2"/>
          <w:highlight w:val="none"/>
        </w:rPr>
        <w:t>，分解落实带分时电力曲线的优先计划电量至具体的市场化电厂，纳入发电企业交易计划。</w:t>
      </w:r>
    </w:p>
    <w:p w14:paraId="45DFFA6A">
      <w:pPr>
        <w:numPr>
          <w:ilvl w:val="0"/>
          <w:numId w:val="6"/>
        </w:numPr>
        <w:shd w:val="clear"/>
        <w:spacing w:before="21" w:line="560" w:lineRule="exact"/>
        <w:ind w:right="122" w:firstLine="640" w:firstLineChars="200"/>
        <w:jc w:val="both"/>
        <w:rPr>
          <w:rFonts w:hint="eastAsia" w:ascii="Times New Roman" w:hAnsi="Times New Roman" w:eastAsia="仿宋" w:cs="华文仿宋"/>
          <w:kern w:val="2"/>
          <w:highlight w:val="none"/>
        </w:rPr>
      </w:pPr>
      <w:r>
        <w:rPr>
          <w:rFonts w:hint="eastAsia" w:ascii="Times New Roman" w:hAnsi="Times New Roman" w:eastAsia="仿宋" w:cs="华文仿宋"/>
          <w:kern w:val="2"/>
          <w:highlight w:val="none"/>
          <w:lang w:val="en-US" w:eastAsia="zh-CN"/>
        </w:rPr>
        <w:t>“网对网”送电类别中直接参与（以“点对网”交易模式参与）跨省中长期市场交易的省内发电企业</w:t>
      </w:r>
      <w:r>
        <w:rPr>
          <w:rFonts w:hint="eastAsia" w:ascii="Times New Roman" w:hAnsi="Times New Roman" w:eastAsia="仿宋" w:cs="华文仿宋"/>
          <w:kern w:val="2"/>
          <w:highlight w:val="none"/>
        </w:rPr>
        <w:t>，纳入相应发电企业的交易计划。</w:t>
      </w:r>
    </w:p>
    <w:p w14:paraId="39EA36F7">
      <w:pPr>
        <w:numPr>
          <w:ilvl w:val="0"/>
          <w:numId w:val="6"/>
        </w:num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t>在</w:t>
      </w:r>
      <w:r>
        <w:rPr>
          <w:rFonts w:hint="eastAsia" w:ascii="仿宋" w:hAnsi="仿宋" w:eastAsia="仿宋" w:cs="仿宋"/>
          <w:sz w:val="32"/>
          <w:szCs w:val="32"/>
          <w:highlight w:val="none"/>
          <w:lang w:val="en-US" w:eastAsia="zh-CN"/>
        </w:rPr>
        <w:t>现货结算期间</w:t>
      </w:r>
      <w:r>
        <w:rPr>
          <w:rFonts w:hint="eastAsia" w:ascii="仿宋" w:hAnsi="仿宋" w:eastAsia="仿宋" w:cs="仿宋"/>
          <w:sz w:val="32"/>
          <w:szCs w:val="32"/>
          <w:highlight w:val="none"/>
        </w:rPr>
        <w:t>省内市场化交易组织前，昆明电力交易中心根据广州电力交易中心提供的</w:t>
      </w:r>
      <w:r>
        <w:rPr>
          <w:rFonts w:hint="eastAsia" w:ascii="仿宋" w:hAnsi="仿宋" w:eastAsia="仿宋" w:cs="仿宋"/>
          <w:sz w:val="32"/>
          <w:szCs w:val="32"/>
          <w:highlight w:val="none"/>
          <w:lang w:val="en-US" w:eastAsia="zh-CN"/>
        </w:rPr>
        <w:t>运行日（D日）</w:t>
      </w:r>
      <w:r>
        <w:rPr>
          <w:rFonts w:hint="eastAsia" w:ascii="仿宋" w:hAnsi="仿宋" w:eastAsia="仿宋" w:cs="仿宋"/>
          <w:sz w:val="32"/>
          <w:szCs w:val="32"/>
          <w:highlight w:val="none"/>
        </w:rPr>
        <w:t>“网对网”送出侧</w:t>
      </w:r>
      <w:r>
        <w:rPr>
          <w:rFonts w:hint="eastAsia" w:ascii="仿宋" w:hAnsi="仿宋" w:cs="仿宋"/>
          <w:sz w:val="32"/>
          <w:szCs w:val="32"/>
          <w:highlight w:val="none"/>
          <w:lang w:val="en-US" w:eastAsia="zh-CN"/>
        </w:rPr>
        <w:t>的</w:t>
      </w:r>
      <w:r>
        <w:rPr>
          <w:rFonts w:hint="eastAsia" w:ascii="仿宋" w:hAnsi="仿宋" w:eastAsia="仿宋" w:cs="仿宋"/>
          <w:sz w:val="32"/>
          <w:szCs w:val="32"/>
          <w:highlight w:val="none"/>
        </w:rPr>
        <w:t>计划曲线，</w:t>
      </w:r>
      <w:r>
        <w:rPr>
          <w:rFonts w:hint="eastAsia" w:ascii="仿宋" w:hAnsi="仿宋" w:eastAsia="仿宋" w:cs="仿宋"/>
          <w:sz w:val="32"/>
          <w:szCs w:val="32"/>
          <w:highlight w:val="none"/>
          <w:lang w:val="en-US" w:eastAsia="zh-CN"/>
        </w:rPr>
        <w:t>并按照云南省能源局印发的优先发电计划文件要求</w:t>
      </w:r>
      <w:r>
        <w:rPr>
          <w:rFonts w:hint="eastAsia" w:ascii="仿宋" w:hAnsi="仿宋" w:eastAsia="仿宋" w:cs="仿宋"/>
          <w:sz w:val="32"/>
          <w:szCs w:val="32"/>
          <w:highlight w:val="none"/>
        </w:rPr>
        <w:t>分配至具体电厂。</w:t>
      </w:r>
    </w:p>
    <w:p w14:paraId="17F07A2E">
      <w:pPr>
        <w:numPr>
          <w:ilvl w:val="0"/>
          <w:numId w:val="4"/>
        </w:numPr>
        <w:shd w:val="clear"/>
        <w:spacing w:line="560" w:lineRule="exact"/>
        <w:ind w:firstLine="640" w:firstLineChars="200"/>
        <w:jc w:val="both"/>
        <w:rPr>
          <w:rFonts w:ascii="Times New Roman" w:hAnsi="Times New Roman" w:eastAsia="仿宋" w:cs="华文仿宋"/>
          <w:highlight w:val="none"/>
        </w:rPr>
      </w:pPr>
      <w:r>
        <w:rPr>
          <w:rFonts w:hint="eastAsia" w:cs="华文仿宋"/>
          <w:highlight w:val="none"/>
        </w:rPr>
        <w:t>当出现西电东送仅有日总曲线，无法分出西电东送日送电不同类别电量和曲线时，根据西电东送每日电量占月度实际送电量的比例，对日电量和总曲线进行修正，再按月度实际分类别电量比例，对每日总曲线进行分解，形成不同类别分时曲线，并用于结算“网对网”西电东送协议实际送电小时电量。如果某日没有实际总曲线，当日总曲线按照D-2日确定的D日的西电东送交易结果曲线执行。</w:t>
      </w:r>
    </w:p>
    <w:p w14:paraId="5D08D918">
      <w:pPr>
        <w:numPr>
          <w:ilvl w:val="0"/>
          <w:numId w:val="4"/>
        </w:numPr>
        <w:shd w:val="clear"/>
        <w:spacing w:line="560" w:lineRule="exact"/>
        <w:ind w:firstLine="640" w:firstLineChars="200"/>
        <w:jc w:val="both"/>
        <w:rPr>
          <w:rFonts w:ascii="Times New Roman" w:hAnsi="Times New Roman" w:eastAsia="仿宋" w:cs="华文仿宋"/>
          <w:highlight w:val="none"/>
        </w:rPr>
      </w:pPr>
      <w:r>
        <w:rPr>
          <w:rFonts w:hint="eastAsia" w:cs="华文仿宋"/>
          <w:highlight w:val="none"/>
          <w:lang w:eastAsia="zh-CN"/>
        </w:rPr>
        <w:t>月度事前</w:t>
      </w:r>
      <w:r>
        <w:rPr>
          <w:rFonts w:hint="eastAsia" w:ascii="Times New Roman" w:hAnsi="Times New Roman" w:eastAsia="仿宋" w:cs="华文仿宋"/>
          <w:highlight w:val="none"/>
        </w:rPr>
        <w:t>合同</w:t>
      </w:r>
      <w:r>
        <w:rPr>
          <w:rFonts w:hint="eastAsia" w:ascii="Times New Roman" w:hAnsi="Times New Roman" w:eastAsia="仿宋" w:cs="宋体"/>
          <w:highlight w:val="none"/>
        </w:rPr>
        <w:t>电量</w:t>
      </w:r>
      <w:r>
        <w:rPr>
          <w:rFonts w:hint="eastAsia" w:ascii="Times New Roman" w:hAnsi="Times New Roman" w:eastAsia="仿宋" w:cs="华文仿宋"/>
          <w:highlight w:val="none"/>
        </w:rPr>
        <w:t>转让交易包括发电合同、用电合同电量转让。</w:t>
      </w:r>
      <w:r>
        <w:rPr>
          <w:rFonts w:hint="eastAsia" w:cs="华文仿宋"/>
          <w:kern w:val="2"/>
          <w:highlight w:val="none"/>
          <w:lang w:eastAsia="zh-CN"/>
        </w:rPr>
        <w:t>月度事前</w:t>
      </w:r>
      <w:r>
        <w:rPr>
          <w:rFonts w:hint="eastAsia" w:ascii="Times New Roman" w:hAnsi="Times New Roman" w:eastAsia="仿宋" w:cs="华文仿宋"/>
          <w:kern w:val="2"/>
          <w:highlight w:val="none"/>
        </w:rPr>
        <w:t>合同电量转让交易标的为除政府或规则明确不能转让的电量外的全部合约</w:t>
      </w:r>
      <w:r>
        <w:rPr>
          <w:rFonts w:hint="eastAsia" w:cs="华文仿宋"/>
          <w:kern w:val="2"/>
          <w:highlight w:val="none"/>
          <w:lang w:eastAsia="zh-CN"/>
        </w:rPr>
        <w:t>。</w:t>
      </w:r>
    </w:p>
    <w:p w14:paraId="1F0AB5B4">
      <w:pPr>
        <w:numPr>
          <w:ilvl w:val="0"/>
          <w:numId w:val="7"/>
        </w:numPr>
        <w:shd w:val="clear"/>
        <w:spacing w:line="560" w:lineRule="exact"/>
        <w:ind w:firstLine="640" w:firstLineChars="200"/>
        <w:jc w:val="both"/>
        <w:rPr>
          <w:rFonts w:hint="eastAsia" w:ascii="Times New Roman" w:hAnsi="Times New Roman" w:eastAsia="仿宋" w:cs="华文仿宋"/>
          <w:color w:val="000000" w:themeColor="text1"/>
          <w:w w:val="100"/>
          <w:sz w:val="32"/>
          <w:szCs w:val="32"/>
          <w:highlight w:val="none"/>
          <w:lang w:eastAsia="zh-CN"/>
          <w14:textFill>
            <w14:solidFill>
              <w14:schemeClr w14:val="tx1"/>
            </w14:solidFill>
          </w14:textFill>
        </w:rPr>
      </w:pPr>
      <w:r>
        <w:rPr>
          <w:rFonts w:hint="eastAsia" w:ascii="Times New Roman" w:hAnsi="Times New Roman" w:eastAsia="仿宋" w:cs="华文仿宋"/>
          <w:color w:val="000000" w:themeColor="text1"/>
          <w:w w:val="100"/>
          <w:sz w:val="32"/>
          <w:szCs w:val="32"/>
          <w:highlight w:val="none"/>
          <w14:textFill>
            <w14:solidFill>
              <w14:schemeClr w14:val="tx1"/>
            </w14:solidFill>
          </w14:textFill>
        </w:rPr>
        <w:t>发电合同电量转让交易是指发电企业之间，对已持有的发电合同进行相互转让的交易。发电合同是指发电企业在中长期电能量市场形成的交易合同，包括优先发电计划电量、跨省中长期市场化交易电量、省内中长期直接交易电量、电网代理购电交易电量等。出让价格为其所有可出让电量的加权平均价，发电企业受让电量不得超过其剩余发电能力。</w:t>
      </w:r>
    </w:p>
    <w:p w14:paraId="3D2B7E97">
      <w:pPr>
        <w:numPr>
          <w:ilvl w:val="0"/>
          <w:numId w:val="7"/>
        </w:numPr>
        <w:shd w:val="clear"/>
        <w:spacing w:line="560" w:lineRule="exact"/>
        <w:ind w:firstLine="640" w:firstLineChars="200"/>
        <w:jc w:val="both"/>
        <w:rPr>
          <w:rFonts w:hint="eastAsia" w:ascii="Times New Roman" w:hAnsi="Times New Roman" w:eastAsia="仿宋" w:cs="华文仿宋"/>
          <w:color w:val="000000" w:themeColor="text1"/>
          <w:w w:val="100"/>
          <w:sz w:val="32"/>
          <w:szCs w:val="32"/>
          <w:highlight w:val="none"/>
          <w14:textFill>
            <w14:solidFill>
              <w14:schemeClr w14:val="tx1"/>
            </w14:solidFill>
          </w14:textFill>
        </w:rPr>
      </w:pPr>
      <w:r>
        <w:rPr>
          <w:rFonts w:hint="eastAsia" w:ascii="Times New Roman" w:hAnsi="Times New Roman" w:eastAsia="仿宋" w:cs="华文仿宋"/>
          <w:color w:val="000000" w:themeColor="text1"/>
          <w:w w:val="100"/>
          <w:sz w:val="32"/>
          <w:szCs w:val="32"/>
          <w:highlight w:val="none"/>
          <w14:textFill>
            <w14:solidFill>
              <w14:schemeClr w14:val="tx1"/>
            </w14:solidFill>
          </w14:textFill>
        </w:rPr>
        <w:t>用电合同电量转让交易是指批发</w:t>
      </w:r>
      <w:r>
        <w:rPr>
          <w:rFonts w:hint="eastAsia" w:ascii="Times New Roman" w:hAnsi="Times New Roman" w:eastAsia="仿宋" w:cs="华文仿宋"/>
          <w:color w:val="000000" w:themeColor="text1"/>
          <w:w w:val="100"/>
          <w:sz w:val="32"/>
          <w:szCs w:val="32"/>
          <w:highlight w:val="none"/>
          <w:lang w:val="en-US" w:eastAsia="zh-CN"/>
          <w14:textFill>
            <w14:solidFill>
              <w14:schemeClr w14:val="tx1"/>
            </w14:solidFill>
          </w14:textFill>
        </w:rPr>
        <w:t>电力</w:t>
      </w:r>
      <w:r>
        <w:rPr>
          <w:rFonts w:hint="eastAsia" w:ascii="Times New Roman" w:hAnsi="Times New Roman" w:eastAsia="仿宋" w:cs="华文仿宋"/>
          <w:color w:val="000000" w:themeColor="text1"/>
          <w:w w:val="100"/>
          <w:sz w:val="32"/>
          <w:szCs w:val="32"/>
          <w:highlight w:val="none"/>
          <w14:textFill>
            <w14:solidFill>
              <w14:schemeClr w14:val="tx1"/>
            </w14:solidFill>
          </w14:textFill>
        </w:rPr>
        <w:t>用户、售电公司之间，对已持有的用电合同进行相互转让的交易。用电合同是指批发</w:t>
      </w:r>
      <w:r>
        <w:rPr>
          <w:rFonts w:hint="eastAsia" w:ascii="Times New Roman" w:hAnsi="Times New Roman" w:eastAsia="仿宋" w:cs="华文仿宋"/>
          <w:color w:val="000000" w:themeColor="text1"/>
          <w:w w:val="100"/>
          <w:sz w:val="32"/>
          <w:szCs w:val="32"/>
          <w:highlight w:val="none"/>
          <w:lang w:val="en-US" w:eastAsia="zh-CN"/>
          <w14:textFill>
            <w14:solidFill>
              <w14:schemeClr w14:val="tx1"/>
            </w14:solidFill>
          </w14:textFill>
        </w:rPr>
        <w:t>电力</w:t>
      </w:r>
      <w:r>
        <w:rPr>
          <w:rFonts w:hint="eastAsia" w:ascii="Times New Roman" w:hAnsi="Times New Roman" w:eastAsia="仿宋" w:cs="华文仿宋"/>
          <w:color w:val="000000" w:themeColor="text1"/>
          <w:w w:val="100"/>
          <w:sz w:val="32"/>
          <w:szCs w:val="32"/>
          <w:highlight w:val="none"/>
          <w14:textFill>
            <w14:solidFill>
              <w14:schemeClr w14:val="tx1"/>
            </w14:solidFill>
          </w14:textFill>
        </w:rPr>
        <w:t>用户、售电公司在中长期电能量市场形成的交易合同，包括省内中长期直接交易电量等。出让价格为其所有可出让电量的加权平均价，用电侧受让电量不得超过其剩余用电需求。</w:t>
      </w:r>
    </w:p>
    <w:p w14:paraId="6143069E">
      <w:pPr>
        <w:numPr>
          <w:ilvl w:val="0"/>
          <w:numId w:val="7"/>
        </w:numPr>
        <w:shd w:val="clear"/>
        <w:spacing w:line="560" w:lineRule="exact"/>
        <w:ind w:firstLine="640" w:firstLineChars="200"/>
        <w:jc w:val="both"/>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当月度所有交易品种关闸后，每月采用双边协商方式，开展次月的合同电量（带分时曲线）转让交易。</w:t>
      </w:r>
    </w:p>
    <w:p w14:paraId="72A631FB">
      <w:pPr>
        <w:numPr>
          <w:ilvl w:val="0"/>
          <w:numId w:val="7"/>
        </w:numPr>
        <w:shd w:val="clear"/>
        <w:spacing w:line="560" w:lineRule="exact"/>
        <w:ind w:firstLine="640" w:firstLineChars="200"/>
        <w:jc w:val="both"/>
        <w:rPr>
          <w:rFonts w:hint="default" w:ascii="Times New Roman" w:hAnsi="Times New Roman" w:eastAsia="仿宋" w:cs="华文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月度事前合同电量转让交易中，市场主体仅能选择作为出让方、受让方任意一方参与。</w:t>
      </w:r>
    </w:p>
    <w:p w14:paraId="6E6DE929">
      <w:pPr>
        <w:numPr>
          <w:ilvl w:val="0"/>
          <w:numId w:val="4"/>
        </w:numPr>
        <w:shd w:val="clear"/>
        <w:ind w:firstLine="640"/>
        <w:rPr>
          <w:highlight w:val="none"/>
        </w:rPr>
      </w:pPr>
      <w:r>
        <w:rPr>
          <w:rFonts w:hint="eastAsia"/>
          <w:highlight w:val="none"/>
        </w:rPr>
        <w:t>电能量交易包括集中交易和双边协商交易两种方式。其中集中交易包括集中竞价交易（集中撮合交易）、连续挂牌交易（滚动撮合交易）和挂牌交易三种形式。</w:t>
      </w:r>
    </w:p>
    <w:p w14:paraId="20F64097">
      <w:pPr>
        <w:numPr>
          <w:ilvl w:val="0"/>
          <w:numId w:val="4"/>
        </w:numPr>
        <w:shd w:val="clear"/>
        <w:ind w:firstLine="640"/>
        <w:rPr>
          <w:spacing w:val="-4"/>
          <w:highlight w:val="none"/>
        </w:rPr>
      </w:pPr>
      <w:r>
        <w:rPr>
          <w:rFonts w:hint="eastAsia"/>
          <w:highlight w:val="none"/>
        </w:rPr>
        <w:t>双边协商交易是指</w:t>
      </w:r>
      <w:r>
        <w:rPr>
          <w:rFonts w:hint="eastAsia"/>
          <w:highlight w:val="none"/>
          <w:lang w:eastAsia="zh-CN"/>
        </w:rPr>
        <w:t>经营主体</w:t>
      </w:r>
      <w:r>
        <w:rPr>
          <w:rFonts w:hint="eastAsia"/>
          <w:highlight w:val="none"/>
        </w:rPr>
        <w:t>之间自主协商交割时段、</w:t>
      </w:r>
      <w:r>
        <w:rPr>
          <w:rFonts w:hint="eastAsia"/>
          <w:highlight w:val="none"/>
          <w:lang w:val="en-US" w:eastAsia="zh-CN"/>
        </w:rPr>
        <w:t>分时段</w:t>
      </w:r>
      <w:r>
        <w:rPr>
          <w:rFonts w:hint="eastAsia"/>
          <w:highlight w:val="none"/>
        </w:rPr>
        <w:t>交易电量、价格，形成双边协商意向协议，</w:t>
      </w:r>
      <w:r>
        <w:rPr>
          <w:rFonts w:hint="eastAsia"/>
          <w:spacing w:val="-4"/>
          <w:highlight w:val="none"/>
        </w:rPr>
        <w:t>在交易时间内通过电力交易平台进行申报和确认，</w:t>
      </w:r>
      <w:r>
        <w:rPr>
          <w:rFonts w:hint="eastAsia"/>
          <w:spacing w:val="-4"/>
          <w:highlight w:val="none"/>
          <w:lang w:val="en-US" w:eastAsia="zh-CN"/>
        </w:rPr>
        <w:t>非现货期间</w:t>
      </w:r>
      <w:r>
        <w:rPr>
          <w:rFonts w:hint="eastAsia"/>
          <w:spacing w:val="-4"/>
          <w:highlight w:val="none"/>
        </w:rPr>
        <w:t>经校核成交。</w:t>
      </w:r>
    </w:p>
    <w:p w14:paraId="48ECEA6B">
      <w:pPr>
        <w:numPr>
          <w:ilvl w:val="0"/>
          <w:numId w:val="8"/>
        </w:numPr>
        <w:shd w:val="clea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双边协商合同内容应包括合同周期、交易电量、交易价格、分时电力曲线（或曲线分解参数）</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以及结算参考点</w:t>
      </w:r>
      <w:r>
        <w:rPr>
          <w:rFonts w:hint="eastAsia" w:ascii="Times New Roman" w:hAnsi="Times New Roman" w:eastAsia="仿宋" w:cs="华文仿宋"/>
          <w:color w:val="000000" w:themeColor="text1"/>
          <w:sz w:val="32"/>
          <w:szCs w:val="32"/>
          <w:highlight w:val="none"/>
          <w14:textFill>
            <w14:solidFill>
              <w14:schemeClr w14:val="tx1"/>
            </w14:solidFill>
          </w14:textFill>
        </w:rPr>
        <w:t>等要素</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 w:cs="华文仿宋"/>
          <w:color w:val="000000" w:themeColor="text1"/>
          <w:sz w:val="32"/>
          <w:szCs w:val="32"/>
          <w:highlight w:val="none"/>
          <w14:textFill>
            <w14:solidFill>
              <w14:schemeClr w14:val="tx1"/>
            </w14:solidFill>
          </w14:textFill>
        </w:rPr>
        <w:t>双边协商采用自定义分解曲线</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w:t>
      </w:r>
    </w:p>
    <w:p w14:paraId="6204D790">
      <w:pPr>
        <w:numPr>
          <w:ilvl w:val="0"/>
          <w:numId w:val="8"/>
        </w:numPr>
        <w:shd w:val="clea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交易双方应在其可申报电量额度范围内开展交易，交易电量应满足最小交易电量要求且为基本单位电量的整数倍，交易价格应满足最小价格单位。</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交易双方应考虑成本、供需形势等因素，在合理范围内申报交易价格。</w:t>
      </w:r>
    </w:p>
    <w:p w14:paraId="7E7724ED">
      <w:pPr>
        <w:numPr>
          <w:ilvl w:val="0"/>
          <w:numId w:val="4"/>
        </w:numPr>
        <w:shd w:val="clear"/>
        <w:ind w:firstLine="640"/>
        <w:rPr>
          <w:rFonts w:hint="default"/>
          <w:highlight w:val="none"/>
          <w:lang w:eastAsia="zh-CN"/>
        </w:rPr>
      </w:pPr>
      <w:r>
        <w:rPr>
          <w:rFonts w:hint="default" w:ascii="Times New Roman" w:hAnsi="Times New Roman" w:eastAsia="仿宋" w:cs="Times New Roman"/>
          <w:sz w:val="32"/>
          <w:szCs w:val="32"/>
          <w:highlight w:val="none"/>
        </w:rPr>
        <w:t>集中交易包括集中竞价、连续挂牌（滚动撮合），按照D1时段（</w:t>
      </w:r>
      <w:r>
        <w:rPr>
          <w:rFonts w:hint="eastAsia" w:cs="Times New Roman"/>
          <w:sz w:val="32"/>
          <w:szCs w:val="32"/>
          <w:highlight w:val="none"/>
          <w:lang w:val="en-US" w:eastAsia="zh-CN"/>
        </w:rPr>
        <w:t>全时段曲线</w:t>
      </w:r>
      <w:r>
        <w:rPr>
          <w:rFonts w:hint="default" w:ascii="Times New Roman" w:hAnsi="Times New Roman" w:eastAsia="仿宋" w:cs="Times New Roman"/>
          <w:sz w:val="32"/>
          <w:szCs w:val="32"/>
          <w:highlight w:val="none"/>
        </w:rPr>
        <w:t>）、D2时段（</w:t>
      </w:r>
      <w:r>
        <w:rPr>
          <w:rFonts w:hint="eastAsia" w:cs="Times New Roman"/>
          <w:sz w:val="32"/>
          <w:szCs w:val="32"/>
          <w:highlight w:val="none"/>
          <w:lang w:val="en-US" w:eastAsia="zh-CN"/>
        </w:rPr>
        <w:t>高峰时段曲线</w:t>
      </w:r>
      <w:r>
        <w:rPr>
          <w:rFonts w:hint="default" w:ascii="Times New Roman" w:hAnsi="Times New Roman" w:eastAsia="仿宋" w:cs="Times New Roman"/>
          <w:sz w:val="32"/>
          <w:szCs w:val="32"/>
          <w:highlight w:val="none"/>
        </w:rPr>
        <w:t>）、D3时段（</w:t>
      </w:r>
      <w:r>
        <w:rPr>
          <w:rFonts w:hint="eastAsia" w:cs="Times New Roman"/>
          <w:sz w:val="32"/>
          <w:szCs w:val="32"/>
          <w:highlight w:val="none"/>
          <w:lang w:val="en-US" w:eastAsia="zh-CN"/>
        </w:rPr>
        <w:t>平时段曲线</w:t>
      </w:r>
      <w:r>
        <w:rPr>
          <w:rFonts w:hint="default" w:ascii="Times New Roman" w:hAnsi="Times New Roman" w:eastAsia="仿宋" w:cs="Times New Roman"/>
          <w:sz w:val="32"/>
          <w:szCs w:val="32"/>
          <w:highlight w:val="none"/>
        </w:rPr>
        <w:t>）、D4时段（</w:t>
      </w:r>
      <w:r>
        <w:rPr>
          <w:rFonts w:hint="eastAsia" w:cs="Times New Roman"/>
          <w:sz w:val="32"/>
          <w:szCs w:val="32"/>
          <w:highlight w:val="none"/>
          <w:lang w:val="en-US" w:eastAsia="zh-CN"/>
        </w:rPr>
        <w:t>谷时段曲线</w:t>
      </w:r>
      <w:r>
        <w:rPr>
          <w:rFonts w:hint="default" w:ascii="Times New Roman" w:hAnsi="Times New Roman" w:eastAsia="仿宋" w:cs="Times New Roman"/>
          <w:sz w:val="32"/>
          <w:szCs w:val="32"/>
          <w:highlight w:val="none"/>
        </w:rPr>
        <w:t>）</w:t>
      </w:r>
      <w:r>
        <w:rPr>
          <w:rFonts w:hint="eastAsia" w:cs="Times New Roman"/>
          <w:sz w:val="32"/>
          <w:szCs w:val="32"/>
          <w:highlight w:val="none"/>
          <w:lang w:eastAsia="zh-CN"/>
        </w:rPr>
        <w:t>、</w:t>
      </w:r>
      <w:r>
        <w:rPr>
          <w:rFonts w:hint="default" w:ascii="Times New Roman" w:hAnsi="Times New Roman" w:eastAsia="仿宋" w:cs="Times New Roman"/>
          <w:sz w:val="32"/>
          <w:szCs w:val="32"/>
          <w:highlight w:val="none"/>
        </w:rPr>
        <w:t>D</w:t>
      </w:r>
      <w:r>
        <w:rPr>
          <w:rFonts w:hint="eastAsia" w:cs="Times New Roman"/>
          <w:sz w:val="32"/>
          <w:szCs w:val="32"/>
          <w:highlight w:val="none"/>
          <w:lang w:val="en-US" w:eastAsia="zh-CN"/>
        </w:rPr>
        <w:t>5</w:t>
      </w:r>
      <w:r>
        <w:rPr>
          <w:rFonts w:hint="default" w:ascii="Times New Roman" w:hAnsi="Times New Roman" w:eastAsia="仿宋" w:cs="Times New Roman"/>
          <w:sz w:val="32"/>
          <w:szCs w:val="32"/>
          <w:highlight w:val="none"/>
        </w:rPr>
        <w:t>时段（</w:t>
      </w:r>
      <w:r>
        <w:rPr>
          <w:rFonts w:hint="eastAsia" w:cs="Times New Roman"/>
          <w:sz w:val="32"/>
          <w:szCs w:val="32"/>
          <w:highlight w:val="none"/>
          <w:lang w:val="en-US" w:eastAsia="zh-CN"/>
        </w:rPr>
        <w:t>6:00—20:00</w:t>
      </w:r>
      <w:r>
        <w:rPr>
          <w:rFonts w:hint="default" w:ascii="Times New Roman" w:hAnsi="Times New Roman" w:eastAsia="仿宋" w:cs="Times New Roman"/>
          <w:sz w:val="32"/>
          <w:szCs w:val="32"/>
          <w:highlight w:val="none"/>
        </w:rPr>
        <w:t>）分别组织</w:t>
      </w:r>
      <w:r>
        <w:rPr>
          <w:rFonts w:hint="eastAsia" w:cs="Times New Roman"/>
          <w:sz w:val="32"/>
          <w:szCs w:val="32"/>
          <w:highlight w:val="none"/>
          <w:lang w:eastAsia="zh-CN"/>
        </w:rPr>
        <w:t>，</w:t>
      </w:r>
      <w:r>
        <w:rPr>
          <w:rFonts w:hint="eastAsia" w:cs="Times New Roman"/>
          <w:sz w:val="32"/>
          <w:szCs w:val="32"/>
          <w:highlight w:val="none"/>
          <w:lang w:val="en-US" w:eastAsia="zh-CN"/>
        </w:rPr>
        <w:t>峰、平、谷的具体时段根据云南省级政府主管部门发布的有关政策规定的时段确定</w:t>
      </w:r>
      <w:r>
        <w:rPr>
          <w:rFonts w:hint="default" w:ascii="Times New Roman" w:hAnsi="Times New Roman" w:eastAsia="仿宋" w:cs="Times New Roman"/>
          <w:sz w:val="32"/>
          <w:szCs w:val="32"/>
          <w:highlight w:val="none"/>
        </w:rPr>
        <w:t>。</w:t>
      </w:r>
      <w:r>
        <w:rPr>
          <w:rFonts w:hint="eastAsia" w:cs="华文仿宋"/>
          <w:color w:val="000000" w:themeColor="text1"/>
          <w:sz w:val="32"/>
          <w:szCs w:val="32"/>
          <w:highlight w:val="none"/>
          <w:lang w:val="en-US" w:eastAsia="zh-CN"/>
          <w14:textFill>
            <w14:solidFill>
              <w14:schemeClr w14:val="tx1"/>
            </w14:solidFill>
          </w14:textFill>
        </w:rPr>
        <w:t>其中，集中交易D1—D4时段交易电量按照等比例原则分解至各时段，D5时段交易电量按照光伏发电典型曲线分解至各时段。</w:t>
      </w:r>
      <w:r>
        <w:rPr>
          <w:rFonts w:hint="default" w:ascii="Times New Roman" w:hAnsi="Times New Roman" w:eastAsia="仿宋" w:cs="Times New Roman"/>
          <w:sz w:val="32"/>
          <w:szCs w:val="32"/>
          <w:highlight w:val="none"/>
        </w:rPr>
        <w:t>集中交易申报和成交的价格为加权平均价。</w:t>
      </w:r>
      <w:r>
        <w:rPr>
          <w:rFonts w:hint="eastAsia" w:cs="Times New Roman"/>
          <w:sz w:val="32"/>
          <w:szCs w:val="32"/>
          <w:highlight w:val="none"/>
          <w:lang w:val="en-US" w:eastAsia="zh-CN"/>
        </w:rPr>
        <w:t>当具备条件时，电力交易机构可按照最小交易时段（1小时）为单位，组织开展对应时段的集中交易，具体以交易机构发布的交易</w:t>
      </w:r>
      <w:r>
        <w:rPr>
          <w:rFonts w:hint="eastAsia" w:cs="Times New Roman"/>
          <w:sz w:val="32"/>
          <w:szCs w:val="32"/>
          <w:highlight w:val="none"/>
          <w:lang w:val="en-US" w:eastAsia="zh-CN"/>
        </w:rPr>
        <w:t>通知</w:t>
      </w:r>
      <w:r>
        <w:rPr>
          <w:rFonts w:hint="eastAsia" w:cs="Times New Roman"/>
          <w:sz w:val="32"/>
          <w:szCs w:val="32"/>
          <w:highlight w:val="none"/>
          <w:lang w:val="en-US" w:eastAsia="zh-CN"/>
        </w:rPr>
        <w:t>为准。</w:t>
      </w:r>
    </w:p>
    <w:p w14:paraId="5D521428">
      <w:pPr>
        <w:numPr>
          <w:ilvl w:val="0"/>
          <w:numId w:val="4"/>
        </w:numPr>
        <w:shd w:val="clear"/>
        <w:ind w:firstLine="640"/>
        <w:rPr>
          <w:highlight w:val="none"/>
        </w:rPr>
      </w:pPr>
      <w:r>
        <w:rPr>
          <w:rFonts w:hint="eastAsia"/>
          <w:highlight w:val="none"/>
        </w:rPr>
        <w:t>集中竞价交易指设置交易报价提交截止时间，电力交易平台汇总</w:t>
      </w:r>
      <w:r>
        <w:rPr>
          <w:rFonts w:hint="eastAsia"/>
          <w:highlight w:val="none"/>
          <w:lang w:eastAsia="zh-CN"/>
        </w:rPr>
        <w:t>经营主体</w:t>
      </w:r>
      <w:r>
        <w:rPr>
          <w:rFonts w:hint="eastAsia"/>
          <w:highlight w:val="none"/>
        </w:rPr>
        <w:t>提交的交易申报信息，按照市场规则进行统一的市场出清，发布市场出清结果</w:t>
      </w:r>
      <w:r>
        <w:rPr>
          <w:rFonts w:hint="eastAsia"/>
          <w:highlight w:val="none"/>
          <w:lang w:eastAsia="zh-CN"/>
        </w:rPr>
        <w:t>，</w:t>
      </w:r>
      <w:r>
        <w:rPr>
          <w:rFonts w:hint="eastAsia" w:ascii="Times New Roman" w:hAnsi="Times New Roman" w:eastAsia="仿宋" w:cs="华文仿宋"/>
          <w:color w:val="auto"/>
          <w:highlight w:val="none"/>
        </w:rPr>
        <w:t>采用典型分解曲线形成交易合同</w:t>
      </w:r>
      <w:r>
        <w:rPr>
          <w:rFonts w:hint="eastAsia"/>
          <w:highlight w:val="none"/>
        </w:rPr>
        <w:t>。集中竞价交易可采用边际出清或高低匹配等价格形成机制。</w:t>
      </w:r>
    </w:p>
    <w:p w14:paraId="67CAFBE1">
      <w:pPr>
        <w:shd w:val="clear"/>
        <w:ind w:left="640" w:leftChars="200" w:firstLine="0" w:firstLineChars="0"/>
        <w:rPr>
          <w:highlight w:val="none"/>
        </w:rPr>
      </w:pPr>
      <w:r>
        <w:rPr>
          <w:rFonts w:hint="eastAsia"/>
          <w:highlight w:val="none"/>
        </w:rPr>
        <w:t>（一）边际出清规则</w:t>
      </w:r>
    </w:p>
    <w:p w14:paraId="755F44DC">
      <w:pPr>
        <w:shd w:val="clear"/>
        <w:ind w:firstLine="640" w:firstLineChars="0"/>
        <w:rPr>
          <w:highlight w:val="none"/>
        </w:rPr>
      </w:pPr>
      <w:r>
        <w:rPr>
          <w:rFonts w:hint="eastAsia"/>
          <w:highlight w:val="none"/>
        </w:rPr>
        <w:t>1. 根据申报时间内购售双方有效申报的电量和价格，形成购售双方价差，价差＝购方申报价－售方申报价。按价差从大到小的顺序依次成交，确定成交电量和成交价格。价差为负不能成交。</w:t>
      </w:r>
    </w:p>
    <w:p w14:paraId="7F0748F9">
      <w:pPr>
        <w:shd w:val="clear"/>
        <w:ind w:firstLine="640" w:firstLineChars="0"/>
        <w:rPr>
          <w:highlight w:val="none"/>
        </w:rPr>
      </w:pPr>
      <w:r>
        <w:rPr>
          <w:rFonts w:hint="eastAsia"/>
          <w:highlight w:val="none"/>
        </w:rPr>
        <w:t>2.</w:t>
      </w:r>
      <w:r>
        <w:rPr>
          <w:highlight w:val="none"/>
        </w:rPr>
        <w:t xml:space="preserve"> </w:t>
      </w:r>
      <w:r>
        <w:rPr>
          <w:rFonts w:hint="eastAsia"/>
          <w:highlight w:val="none"/>
        </w:rPr>
        <w:t>根据购方与售方最后一个交易匹配对确定成交电量、成交价格。边际出清价格为K1×最后一个成交的购方申报价+K2×最后一个成交的售方申报价，其中K1=K2=0.5。</w:t>
      </w:r>
    </w:p>
    <w:p w14:paraId="7D0665DE">
      <w:pPr>
        <w:shd w:val="clear"/>
        <w:ind w:left="640" w:leftChars="200" w:firstLine="0" w:firstLineChars="0"/>
        <w:rPr>
          <w:highlight w:val="none"/>
        </w:rPr>
      </w:pPr>
      <w:r>
        <w:rPr>
          <w:rFonts w:hint="eastAsia"/>
          <w:highlight w:val="none"/>
        </w:rPr>
        <w:t>（二）高低匹配出清规则</w:t>
      </w:r>
    </w:p>
    <w:p w14:paraId="2A5CC004">
      <w:pPr>
        <w:shd w:val="clear"/>
        <w:ind w:firstLine="640"/>
        <w:rPr>
          <w:highlight w:val="none"/>
        </w:rPr>
      </w:pPr>
      <w:r>
        <w:rPr>
          <w:rFonts w:hint="eastAsia"/>
          <w:highlight w:val="none"/>
        </w:rPr>
        <w:t>1. 根据申报时间内购售双方有效申报的电量和价格，形成购售双方价差，价差＝购方申报价－售方申报价。按价差从大到小的顺序依次成交，确定成交电量和成交价格。价差为负不能成交。</w:t>
      </w:r>
    </w:p>
    <w:p w14:paraId="5803E7A9">
      <w:pPr>
        <w:shd w:val="clear"/>
        <w:ind w:firstLine="640"/>
        <w:rPr>
          <w:highlight w:val="none"/>
        </w:rPr>
      </w:pPr>
      <w:r>
        <w:rPr>
          <w:rFonts w:hint="eastAsia"/>
          <w:highlight w:val="none"/>
        </w:rPr>
        <w:t>2. 根据购方与售方交易</w:t>
      </w:r>
      <w:r>
        <w:rPr>
          <w:rFonts w:hint="eastAsia"/>
          <w:highlight w:val="none"/>
          <w:lang w:eastAsia="zh-CN"/>
        </w:rPr>
        <w:t>匹配</w:t>
      </w:r>
      <w:r>
        <w:rPr>
          <w:rFonts w:hint="eastAsia"/>
          <w:highlight w:val="none"/>
        </w:rPr>
        <w:t>确定成交电量、成交价格，成交价格为K1×购方申报价+K2×售方申报价，其中K1=K2=0.5。</w:t>
      </w:r>
    </w:p>
    <w:p w14:paraId="2431E4B1">
      <w:pPr>
        <w:shd w:val="clear"/>
        <w:ind w:firstLine="640"/>
        <w:rPr>
          <w:spacing w:val="-4"/>
          <w:highlight w:val="none"/>
        </w:rPr>
      </w:pPr>
      <w:r>
        <w:rPr>
          <w:rFonts w:hint="eastAsia"/>
          <w:highlight w:val="none"/>
        </w:rPr>
        <w:t>3. 多个价差相同时，如售方申报电量之和大于（或等于）购方申报电量之和，则购方按申报电量全部成交，售方按申报电量等比例分配购方申报电量之和进行成交；如购方申报电量之和大于售方申报电量之和，</w:t>
      </w:r>
      <w:r>
        <w:rPr>
          <w:rFonts w:hint="eastAsia"/>
          <w:spacing w:val="-4"/>
          <w:highlight w:val="none"/>
        </w:rPr>
        <w:t>则售方按申报电量全部成交，购方按申报电量等比例分配售方申报电量之和进行成交。</w:t>
      </w:r>
    </w:p>
    <w:p w14:paraId="1C305A5F">
      <w:pPr>
        <w:numPr>
          <w:ilvl w:val="0"/>
          <w:numId w:val="4"/>
        </w:numPr>
        <w:shd w:val="clear"/>
        <w:ind w:firstLine="640"/>
        <w:rPr>
          <w:rFonts w:eastAsia="仿宋_GB2312" w:cs="Times New Roman"/>
          <w:szCs w:val="32"/>
          <w:highlight w:val="none"/>
        </w:rPr>
      </w:pPr>
      <w:r>
        <w:rPr>
          <w:rFonts w:hint="eastAsia"/>
          <w:highlight w:val="none"/>
        </w:rPr>
        <w:t>连续挂牌交易是指在规定的交易起止时间内，</w:t>
      </w:r>
      <w:r>
        <w:rPr>
          <w:rFonts w:hint="eastAsia"/>
          <w:highlight w:val="none"/>
          <w:lang w:eastAsia="zh-CN"/>
        </w:rPr>
        <w:t>经营主体</w:t>
      </w:r>
      <w:r>
        <w:rPr>
          <w:rFonts w:hint="eastAsia"/>
          <w:highlight w:val="none"/>
        </w:rPr>
        <w:t>可以随时提交购电或者售电信息，电力交易平台按照</w:t>
      </w:r>
      <w:r>
        <w:rPr>
          <w:rFonts w:hint="eastAsia" w:cs="Times New Roman"/>
          <w:bCs/>
          <w:szCs w:val="32"/>
          <w:highlight w:val="none"/>
        </w:rPr>
        <w:t>价格优先、时间优先</w:t>
      </w:r>
      <w:r>
        <w:rPr>
          <w:rFonts w:hint="eastAsia"/>
          <w:highlight w:val="none"/>
        </w:rPr>
        <w:t>的原则进行滚动撮合成交</w:t>
      </w:r>
      <w:r>
        <w:rPr>
          <w:rFonts w:hint="eastAsia"/>
          <w:highlight w:val="none"/>
          <w:lang w:eastAsia="zh-CN"/>
        </w:rPr>
        <w:t>，</w:t>
      </w:r>
      <w:r>
        <w:rPr>
          <w:rFonts w:hint="eastAsia" w:ascii="Times New Roman" w:hAnsi="Times New Roman" w:eastAsia="仿宋" w:cs="华文仿宋"/>
          <w:color w:val="auto"/>
          <w:highlight w:val="none"/>
        </w:rPr>
        <w:t>采用典型分解曲线形成交易合同</w:t>
      </w:r>
      <w:r>
        <w:rPr>
          <w:rFonts w:hint="eastAsia"/>
          <w:highlight w:val="none"/>
        </w:rPr>
        <w:t>。连续挂牌交易规则：</w:t>
      </w:r>
    </w:p>
    <w:p w14:paraId="09173EDF">
      <w:pPr>
        <w:shd w:val="clear"/>
        <w:ind w:firstLine="640"/>
        <w:rPr>
          <w:highlight w:val="none"/>
        </w:rPr>
      </w:pPr>
      <w:r>
        <w:rPr>
          <w:rFonts w:hint="eastAsia"/>
          <w:highlight w:val="none"/>
        </w:rPr>
        <w:t>（一）购方申报价大于等于售方申报价时即时成交。</w:t>
      </w:r>
    </w:p>
    <w:p w14:paraId="032BEAAC">
      <w:pPr>
        <w:shd w:val="clear"/>
        <w:ind w:firstLine="640"/>
        <w:rPr>
          <w:highlight w:val="none"/>
        </w:rPr>
      </w:pPr>
      <w:r>
        <w:rPr>
          <w:rFonts w:hint="eastAsia"/>
          <w:highlight w:val="none"/>
        </w:rPr>
        <w:t>（二）售方按照申报价格从低到高顺序成交，申报价格相同时按照申报时间从先到后顺序成交，申报价格及申报时间相同时按照申报电量等比例成交。</w:t>
      </w:r>
    </w:p>
    <w:p w14:paraId="1A9C722B">
      <w:pPr>
        <w:shd w:val="clear"/>
        <w:ind w:firstLine="640"/>
        <w:rPr>
          <w:highlight w:val="none"/>
        </w:rPr>
      </w:pPr>
      <w:r>
        <w:rPr>
          <w:rFonts w:hint="eastAsia"/>
          <w:highlight w:val="none"/>
        </w:rPr>
        <w:t>（三）购方按照申报价格从高到低顺序成交，申报价格相同时按照申报时间从先到后顺序成交，申报价格及申报时间相同时按照申报电量等比例成交。</w:t>
      </w:r>
    </w:p>
    <w:p w14:paraId="74278615">
      <w:pPr>
        <w:shd w:val="clear"/>
        <w:ind w:firstLine="640"/>
        <w:rPr>
          <w:highlight w:val="none"/>
        </w:rPr>
      </w:pPr>
      <w:r>
        <w:rPr>
          <w:rFonts w:hint="eastAsia"/>
          <w:highlight w:val="none"/>
        </w:rPr>
        <w:t>（四）成交价格为K3×购方申报价+K4×售方申报价，其中K3=K4=0.5。</w:t>
      </w:r>
    </w:p>
    <w:p w14:paraId="217847D0">
      <w:pPr>
        <w:numPr>
          <w:ilvl w:val="0"/>
          <w:numId w:val="4"/>
        </w:numPr>
        <w:shd w:val="clear"/>
        <w:ind w:firstLine="640"/>
        <w:rPr>
          <w:highlight w:val="none"/>
        </w:rPr>
      </w:pPr>
      <w:r>
        <w:rPr>
          <w:rFonts w:hint="eastAsia"/>
          <w:highlight w:val="none"/>
        </w:rPr>
        <w:t>挂牌交易指</w:t>
      </w:r>
      <w:r>
        <w:rPr>
          <w:rFonts w:hint="eastAsia"/>
          <w:highlight w:val="none"/>
          <w:lang w:eastAsia="zh-CN"/>
        </w:rPr>
        <w:t>经营主体</w:t>
      </w:r>
      <w:r>
        <w:rPr>
          <w:rFonts w:hint="eastAsia"/>
          <w:highlight w:val="none"/>
        </w:rPr>
        <w:t>通过电力交易平台，将需求电量</w:t>
      </w:r>
      <w:r>
        <w:rPr>
          <w:rFonts w:hint="eastAsia"/>
          <w:highlight w:val="none"/>
          <w:lang w:eastAsia="zh-CN"/>
        </w:rPr>
        <w:t>（</w:t>
      </w:r>
      <w:r>
        <w:rPr>
          <w:rFonts w:hint="eastAsia"/>
          <w:highlight w:val="none"/>
          <w:lang w:val="en-US" w:eastAsia="zh-CN"/>
        </w:rPr>
        <w:t>或分时电量曲线</w:t>
      </w:r>
      <w:r>
        <w:rPr>
          <w:rFonts w:hint="eastAsia"/>
          <w:highlight w:val="none"/>
          <w:lang w:eastAsia="zh-CN"/>
        </w:rPr>
        <w:t>）</w:t>
      </w:r>
      <w:r>
        <w:rPr>
          <w:rFonts w:hint="eastAsia"/>
          <w:highlight w:val="none"/>
        </w:rPr>
        <w:t>或者可供电量</w:t>
      </w:r>
      <w:r>
        <w:rPr>
          <w:rFonts w:hint="eastAsia"/>
          <w:highlight w:val="none"/>
          <w:lang w:eastAsia="zh-CN"/>
        </w:rPr>
        <w:t>（</w:t>
      </w:r>
      <w:r>
        <w:rPr>
          <w:rFonts w:hint="eastAsia"/>
          <w:highlight w:val="none"/>
          <w:lang w:val="en-US" w:eastAsia="zh-CN"/>
        </w:rPr>
        <w:t>或分时电量曲线</w:t>
      </w:r>
      <w:r>
        <w:rPr>
          <w:rFonts w:hint="eastAsia"/>
          <w:highlight w:val="none"/>
          <w:lang w:eastAsia="zh-CN"/>
        </w:rPr>
        <w:t>）</w:t>
      </w:r>
      <w:r>
        <w:rPr>
          <w:rFonts w:hint="eastAsia"/>
          <w:highlight w:val="none"/>
        </w:rPr>
        <w:t>的数量和价格等信息对外发布要约，由符合资格要求的另一方提出接受该要约的申请。</w:t>
      </w:r>
      <w:r>
        <w:rPr>
          <w:rFonts w:hint="eastAsia" w:ascii="Times New Roman" w:hAnsi="Times New Roman" w:eastAsia="仿宋" w:cs="华文仿宋"/>
          <w:color w:val="auto"/>
          <w:highlight w:val="none"/>
        </w:rPr>
        <w:t>挂牌交易采用自定义分解曲线形成交易合同</w:t>
      </w:r>
      <w:r>
        <w:rPr>
          <w:rFonts w:hint="eastAsia"/>
          <w:highlight w:val="none"/>
        </w:rPr>
        <w:t>，由符合资格要求的</w:t>
      </w:r>
      <w:r>
        <w:rPr>
          <w:rFonts w:hint="eastAsia"/>
          <w:highlight w:val="none"/>
          <w:lang w:eastAsia="zh-CN"/>
        </w:rPr>
        <w:t>经营主体</w:t>
      </w:r>
      <w:r>
        <w:rPr>
          <w:rFonts w:hint="eastAsia"/>
          <w:highlight w:val="none"/>
        </w:rPr>
        <w:t>提出接受该要约的申请</w:t>
      </w:r>
      <w:r>
        <w:rPr>
          <w:rFonts w:hint="eastAsia"/>
          <w:highlight w:val="none"/>
          <w:lang w:eastAsia="zh-CN"/>
        </w:rPr>
        <w:t>。</w:t>
      </w:r>
      <w:r>
        <w:rPr>
          <w:rFonts w:hint="eastAsia"/>
          <w:highlight w:val="none"/>
        </w:rPr>
        <w:t>挂牌交易规则：</w:t>
      </w:r>
    </w:p>
    <w:p w14:paraId="00984DE4">
      <w:pPr>
        <w:shd w:val="clear"/>
        <w:ind w:firstLine="640"/>
        <w:jc w:val="left"/>
        <w:rPr>
          <w:highlight w:val="none"/>
        </w:rPr>
      </w:pPr>
      <w:r>
        <w:rPr>
          <w:rFonts w:hint="eastAsia"/>
          <w:highlight w:val="none"/>
        </w:rPr>
        <w:t>（一）挂牌方申报挂牌电量</w:t>
      </w:r>
      <w:r>
        <w:rPr>
          <w:rFonts w:hint="eastAsia"/>
          <w:highlight w:val="none"/>
          <w:lang w:eastAsia="zh-CN"/>
        </w:rPr>
        <w:t>（</w:t>
      </w:r>
      <w:r>
        <w:rPr>
          <w:rFonts w:hint="eastAsia"/>
          <w:highlight w:val="none"/>
          <w:lang w:val="en-US" w:eastAsia="zh-CN"/>
        </w:rPr>
        <w:t>或分时电量曲线</w:t>
      </w:r>
      <w:r>
        <w:rPr>
          <w:rFonts w:hint="eastAsia"/>
          <w:highlight w:val="none"/>
          <w:lang w:eastAsia="zh-CN"/>
        </w:rPr>
        <w:t>）</w:t>
      </w:r>
      <w:r>
        <w:rPr>
          <w:rFonts w:hint="eastAsia"/>
          <w:highlight w:val="none"/>
        </w:rPr>
        <w:t>、挂牌价格。</w:t>
      </w:r>
    </w:p>
    <w:p w14:paraId="7EF31698">
      <w:pPr>
        <w:shd w:val="clear"/>
        <w:ind w:firstLine="640"/>
        <w:jc w:val="left"/>
        <w:rPr>
          <w:highlight w:val="none"/>
        </w:rPr>
      </w:pPr>
      <w:r>
        <w:rPr>
          <w:rFonts w:hint="eastAsia"/>
          <w:highlight w:val="none"/>
        </w:rPr>
        <w:t>（二）摘牌方根据挂牌信息，申报摘牌电量</w:t>
      </w:r>
      <w:r>
        <w:rPr>
          <w:rFonts w:hint="eastAsia"/>
          <w:highlight w:val="none"/>
          <w:lang w:eastAsia="zh-CN"/>
        </w:rPr>
        <w:t>（</w:t>
      </w:r>
      <w:r>
        <w:rPr>
          <w:rFonts w:hint="eastAsia"/>
          <w:highlight w:val="none"/>
          <w:lang w:val="en-US" w:eastAsia="zh-CN"/>
        </w:rPr>
        <w:t>或分时电量曲线</w:t>
      </w:r>
      <w:r>
        <w:rPr>
          <w:rFonts w:hint="eastAsia"/>
          <w:highlight w:val="none"/>
          <w:lang w:eastAsia="zh-CN"/>
        </w:rPr>
        <w:t>）</w:t>
      </w:r>
      <w:r>
        <w:rPr>
          <w:rFonts w:hint="eastAsia"/>
          <w:highlight w:val="none"/>
        </w:rPr>
        <w:t>。当全部摘牌电量之和小于（或等于）全部挂牌电量时，摘牌电量全部成交，挂牌电量按等比例分配摘牌电量进行成交；当全部摘牌电量之和大于全部挂牌电量时，挂牌电量全部成交，摘牌电量按等比例分配挂牌电量进行成交。</w:t>
      </w:r>
    </w:p>
    <w:p w14:paraId="3FBC3D31">
      <w:pPr>
        <w:ind w:firstLine="640"/>
        <w:jc w:val="left"/>
        <w:rPr>
          <w:rFonts w:hint="eastAsia" w:eastAsia="仿宋"/>
          <w:highlight w:val="none"/>
          <w:lang w:eastAsia="zh-CN"/>
        </w:rPr>
      </w:pPr>
      <w:r>
        <w:rPr>
          <w:rFonts w:hint="eastAsia"/>
          <w:highlight w:val="none"/>
        </w:rPr>
        <w:t>（三）成交价格为挂牌价格。</w:t>
      </w:r>
    </w:p>
    <w:p w14:paraId="6DB6B428">
      <w:pPr>
        <w:numPr>
          <w:ilvl w:val="0"/>
          <w:numId w:val="4"/>
        </w:numPr>
        <w:ind w:firstLine="640"/>
        <w:rPr>
          <w:highlight w:val="none"/>
        </w:rPr>
      </w:pPr>
      <w:r>
        <w:rPr>
          <w:rFonts w:hint="eastAsia"/>
          <w:highlight w:val="none"/>
        </w:rPr>
        <w:t>除电网安全约束外，不得限制发电企业在自身发电能力范围内的交易电量申报；发电权交易、合约转让交易应当遵循购售双方的意愿，不得人为设置条件，原则上鼓励清洁、高效机组替代低效机组发电。</w:t>
      </w:r>
    </w:p>
    <w:p w14:paraId="138E0C8E">
      <w:pPr>
        <w:numPr>
          <w:ilvl w:val="0"/>
          <w:numId w:val="4"/>
        </w:numPr>
        <w:shd w:val="clear"/>
        <w:ind w:firstLine="640"/>
        <w:rPr>
          <w:highlight w:val="none"/>
        </w:rPr>
      </w:pPr>
      <w:r>
        <w:rPr>
          <w:rFonts w:hint="eastAsia"/>
          <w:highlight w:val="none"/>
        </w:rPr>
        <w:t>在优先安排优先发电合同输电容量的前提下，可由省级相关主管部门授权或委托的企业和机构代理省内发电企业利用剩余输电容量进行跨区跨省交易；具备条件的发电企业也可直接进行跨区跨省交易，但交易申报电量需进行合理性校验，优先满足省内用电和西电东送框架协议履行。在满足省内用电和西电东送框架协议履行的前提下，鼓励省外的电网企业、电力用户和售电公司通过</w:t>
      </w:r>
      <w:r>
        <w:rPr>
          <w:rFonts w:hint="eastAsia"/>
          <w:szCs w:val="32"/>
          <w:highlight w:val="none"/>
          <w:lang w:val="en-US" w:eastAsia="zh-CN"/>
        </w:rPr>
        <w:t>电力交易机构</w:t>
      </w:r>
      <w:r>
        <w:rPr>
          <w:rFonts w:hint="eastAsia"/>
          <w:highlight w:val="none"/>
        </w:rPr>
        <w:t>进行市场化购电。</w:t>
      </w:r>
    </w:p>
    <w:p w14:paraId="10F10AF7">
      <w:pPr>
        <w:numPr>
          <w:ilvl w:val="0"/>
          <w:numId w:val="4"/>
        </w:numPr>
        <w:shd w:val="clear"/>
        <w:ind w:firstLine="640"/>
        <w:rPr>
          <w:highlight w:val="none"/>
        </w:rPr>
      </w:pPr>
      <w:bookmarkStart w:id="2" w:name="_Hlk82073962"/>
      <w:r>
        <w:rPr>
          <w:rFonts w:hint="eastAsia"/>
          <w:highlight w:val="none"/>
        </w:rPr>
        <w:t>充分发挥市场机制决定性作用，更好发挥政府作用，通过市场化机制合理疏导各类电源发电成本，建立完善电能量市</w:t>
      </w:r>
      <w:r>
        <w:rPr>
          <w:rFonts w:hint="eastAsia"/>
          <w:highlight w:val="none"/>
          <w:lang w:val="en-US" w:eastAsia="zh-CN"/>
        </w:rPr>
        <w:t>场</w:t>
      </w:r>
      <w:r>
        <w:rPr>
          <w:rFonts w:hint="eastAsia"/>
          <w:highlight w:val="none"/>
        </w:rPr>
        <w:t>，</w:t>
      </w:r>
      <w:r>
        <w:rPr>
          <w:rFonts w:hint="eastAsia"/>
          <w:highlight w:val="none"/>
          <w:lang w:val="en-US" w:eastAsia="zh-CN"/>
        </w:rPr>
        <w:t>做好中长期电力交易和</w:t>
      </w:r>
      <w:r>
        <w:rPr>
          <w:rFonts w:hint="eastAsia"/>
          <w:highlight w:val="none"/>
        </w:rPr>
        <w:t>云南省煤电容量电价机制</w:t>
      </w:r>
      <w:r>
        <w:rPr>
          <w:rFonts w:hint="eastAsia"/>
          <w:highlight w:val="none"/>
          <w:lang w:val="en-US" w:eastAsia="zh-CN"/>
        </w:rPr>
        <w:t>衔接，</w:t>
      </w:r>
      <w:r>
        <w:rPr>
          <w:rFonts w:hint="eastAsia"/>
          <w:highlight w:val="none"/>
        </w:rPr>
        <w:t>根据市场发展情况，探索通过容量补偿机制、容量市场、稀缺电价等多种方式，保障电源成本回收和长期电力供应安全。</w:t>
      </w:r>
    </w:p>
    <w:bookmarkEnd w:id="2"/>
    <w:p w14:paraId="0ED97D7E">
      <w:pPr>
        <w:numPr>
          <w:ilvl w:val="0"/>
          <w:numId w:val="4"/>
        </w:numPr>
        <w:shd w:val="clear"/>
        <w:ind w:firstLine="640"/>
        <w:rPr>
          <w:highlight w:val="none"/>
        </w:rPr>
      </w:pPr>
      <w:bookmarkStart w:id="3" w:name="_Hlk82074135"/>
      <w:r>
        <w:rPr>
          <w:rFonts w:hint="default"/>
          <w:highlight w:val="none"/>
          <w:lang w:val="en-US"/>
        </w:rPr>
        <w:t>持续丰富交易品种，推动市场机制不断完善。</w:t>
      </w:r>
      <w:r>
        <w:rPr>
          <w:rFonts w:hint="eastAsia"/>
          <w:highlight w:val="none"/>
          <w:lang w:val="en-US" w:eastAsia="zh-CN"/>
        </w:rPr>
        <w:t>强化与</w:t>
      </w:r>
      <w:r>
        <w:rPr>
          <w:rFonts w:hint="eastAsia"/>
          <w:highlight w:val="none"/>
        </w:rPr>
        <w:t>绿色电力交易</w:t>
      </w:r>
      <w:r>
        <w:rPr>
          <w:rFonts w:hint="eastAsia"/>
          <w:highlight w:val="none"/>
          <w:lang w:val="en-US" w:eastAsia="zh-CN"/>
        </w:rPr>
        <w:t>衔接</w:t>
      </w:r>
      <w:r>
        <w:rPr>
          <w:rFonts w:hint="eastAsia"/>
          <w:highlight w:val="none"/>
        </w:rPr>
        <w:t>，以市场化方式引导绿色电力消费。探索建立灵活调节、储能、应急等不同类型电源参与电力市场机制，引导各种类型电源的投资建设。建立需求侧响应机制，充分挖掘各类</w:t>
      </w:r>
      <w:r>
        <w:rPr>
          <w:rFonts w:hint="eastAsia"/>
          <w:highlight w:val="none"/>
          <w:lang w:eastAsia="zh-CN"/>
        </w:rPr>
        <w:t>经营主体</w:t>
      </w:r>
      <w:r>
        <w:rPr>
          <w:rFonts w:hint="eastAsia"/>
          <w:highlight w:val="none"/>
        </w:rPr>
        <w:t>响应潜力，共同保障电力供应安全。</w:t>
      </w:r>
      <w:bookmarkEnd w:id="3"/>
    </w:p>
    <w:p w14:paraId="0A80E740">
      <w:pPr>
        <w:pStyle w:val="3"/>
        <w:shd w:val="clear"/>
        <w:rPr>
          <w:rFonts w:cs="Times New Roman"/>
          <w:highlight w:val="none"/>
        </w:rPr>
      </w:pPr>
      <w:r>
        <w:rPr>
          <w:rFonts w:hint="eastAsia" w:cs="Times New Roman"/>
          <w:highlight w:val="none"/>
        </w:rPr>
        <w:t>第</w:t>
      </w:r>
      <w:r>
        <w:rPr>
          <w:rFonts w:hint="eastAsia" w:cs="Times New Roman"/>
          <w:highlight w:val="none"/>
          <w:lang w:val="en-US" w:eastAsia="zh-CN"/>
        </w:rPr>
        <w:t>四</w:t>
      </w:r>
      <w:r>
        <w:rPr>
          <w:rFonts w:hint="eastAsia" w:cs="Times New Roman"/>
          <w:highlight w:val="none"/>
        </w:rPr>
        <w:t>章  价格机制</w:t>
      </w:r>
    </w:p>
    <w:p w14:paraId="6A6D2B52">
      <w:pPr>
        <w:numPr>
          <w:ilvl w:val="0"/>
          <w:numId w:val="4"/>
        </w:numPr>
        <w:shd w:val="clear"/>
        <w:ind w:firstLine="640"/>
        <w:rPr>
          <w:rFonts w:ascii="仿宋" w:hAnsi="仿宋" w:cs="仿宋"/>
          <w:szCs w:val="32"/>
          <w:highlight w:val="none"/>
        </w:rPr>
      </w:pPr>
      <w:r>
        <w:rPr>
          <w:rFonts w:hint="eastAsia"/>
          <w:highlight w:val="none"/>
        </w:rPr>
        <w:t>除计划电量执行政府确定的价格外，电力中长期交易的成交价格应当由</w:t>
      </w:r>
      <w:r>
        <w:rPr>
          <w:rFonts w:hint="eastAsia"/>
          <w:highlight w:val="none"/>
          <w:lang w:eastAsia="zh-CN"/>
        </w:rPr>
        <w:t>经营主体</w:t>
      </w:r>
      <w:r>
        <w:rPr>
          <w:rFonts w:hint="eastAsia"/>
          <w:highlight w:val="none"/>
        </w:rPr>
        <w:t>通过双边协商、集中交易等市场化方式形成，第三方不得干预。鼓励</w:t>
      </w:r>
      <w:r>
        <w:rPr>
          <w:rFonts w:hint="eastAsia"/>
          <w:highlight w:val="none"/>
          <w:lang w:val="en-US" w:eastAsia="zh-CN"/>
        </w:rPr>
        <w:t>计划</w:t>
      </w:r>
      <w:r>
        <w:rPr>
          <w:rFonts w:hint="eastAsia"/>
          <w:spacing w:val="-6"/>
          <w:highlight w:val="none"/>
        </w:rPr>
        <w:t>电量采取市场化机制确定价格。</w:t>
      </w:r>
    </w:p>
    <w:p w14:paraId="5469DBCE">
      <w:pPr>
        <w:numPr>
          <w:ilvl w:val="0"/>
          <w:numId w:val="4"/>
        </w:numPr>
        <w:shd w:val="clear"/>
        <w:ind w:firstLine="640"/>
        <w:rPr>
          <w:highlight w:val="none"/>
        </w:rPr>
      </w:pPr>
      <w:r>
        <w:rPr>
          <w:rFonts w:hint="eastAsia"/>
          <w:highlight w:val="none"/>
        </w:rPr>
        <w:t>电能量市场化交易（含省内和跨区跨省）价格均为上网侧的绝对价格（含税），包括脱硫、脱硝、除尘和超低排放电价。</w:t>
      </w:r>
    </w:p>
    <w:p w14:paraId="2201690A">
      <w:pPr>
        <w:numPr>
          <w:ilvl w:val="0"/>
          <w:numId w:val="4"/>
        </w:numPr>
        <w:shd w:val="clear"/>
        <w:ind w:firstLine="640"/>
        <w:rPr>
          <w:spacing w:val="-4"/>
          <w:highlight w:val="none"/>
        </w:rPr>
      </w:pPr>
      <w:r>
        <w:rPr>
          <w:rFonts w:hint="eastAsia"/>
          <w:highlight w:val="none"/>
        </w:rPr>
        <w:t>因电网安全约束必须开启的机组，约束上</w:t>
      </w:r>
      <w:r>
        <w:rPr>
          <w:rFonts w:hint="eastAsia"/>
          <w:highlight w:val="none"/>
          <w:lang w:val="en-US" w:eastAsia="zh-CN"/>
        </w:rPr>
        <w:t>网</w:t>
      </w:r>
      <w:r>
        <w:rPr>
          <w:rFonts w:hint="eastAsia"/>
          <w:highlight w:val="none"/>
        </w:rPr>
        <w:t>电量超出其合同电量的部分，采用市场化机制确定价格。</w:t>
      </w:r>
      <w:r>
        <w:rPr>
          <w:rFonts w:hint="eastAsia"/>
          <w:spacing w:val="-4"/>
          <w:highlight w:val="none"/>
        </w:rPr>
        <w:t>加强对必开机组组合和约束上电量的监管，保障公开、公平、公正。</w:t>
      </w:r>
    </w:p>
    <w:p w14:paraId="657FD944">
      <w:pPr>
        <w:pStyle w:val="6"/>
        <w:shd w:val="clear"/>
        <w:ind w:firstLine="616"/>
        <w:rPr>
          <w:rFonts w:ascii="Times New Roman" w:hAnsi="Times New Roman" w:eastAsia="仿宋" w:cs="宋体"/>
          <w:spacing w:val="-6"/>
          <w:sz w:val="32"/>
          <w:szCs w:val="24"/>
          <w:highlight w:val="none"/>
        </w:rPr>
      </w:pPr>
      <w:r>
        <w:rPr>
          <w:rFonts w:hint="eastAsia" w:ascii="Times New Roman" w:hAnsi="Times New Roman" w:eastAsia="仿宋" w:cs="宋体"/>
          <w:spacing w:val="-6"/>
          <w:sz w:val="32"/>
          <w:szCs w:val="24"/>
          <w:highlight w:val="none"/>
        </w:rPr>
        <w:t>新投产发电机组的调试电量按照调试电价政策进行结算。</w:t>
      </w:r>
    </w:p>
    <w:p w14:paraId="418521A3">
      <w:pPr>
        <w:numPr>
          <w:ilvl w:val="0"/>
          <w:numId w:val="4"/>
        </w:numPr>
        <w:shd w:val="clear"/>
        <w:ind w:firstLine="640"/>
        <w:rPr>
          <w:highlight w:val="none"/>
        </w:rPr>
      </w:pPr>
      <w:r>
        <w:rPr>
          <w:rFonts w:hint="eastAsia"/>
          <w:highlight w:val="none"/>
        </w:rPr>
        <w:t>直接参与交易的用户侧用电价格由电能量价格、输配电价（含交叉补贴）、上网环节线损费用、系统运行费用（包括辅助服务费用、抽水蓄能容量电费等）、政府性基金及附加等构成</w:t>
      </w:r>
      <w:r>
        <w:rPr>
          <w:rFonts w:hint="eastAsia"/>
          <w:highlight w:val="none"/>
          <w:lang w:eastAsia="zh-CN"/>
        </w:rPr>
        <w:t>。</w:t>
      </w:r>
      <w:r>
        <w:rPr>
          <w:rFonts w:hint="eastAsia"/>
          <w:highlight w:val="none"/>
        </w:rPr>
        <w:t>输配电价、政府性基金及附加按照国家和云南省有关规定执行。电网企业代理购电用户的用电价格按国家和云南省相关规定执行。</w:t>
      </w:r>
    </w:p>
    <w:p w14:paraId="2960F3CC">
      <w:pPr>
        <w:numPr>
          <w:ilvl w:val="0"/>
          <w:numId w:val="4"/>
        </w:numPr>
        <w:shd w:val="clear"/>
        <w:ind w:firstLine="640"/>
        <w:rPr>
          <w:highlight w:val="none"/>
        </w:rPr>
      </w:pPr>
      <w:r>
        <w:rPr>
          <w:rFonts w:hint="eastAsia"/>
          <w:highlight w:val="none"/>
        </w:rPr>
        <w:t>执行峰谷电价的用户</w:t>
      </w:r>
      <w:r>
        <w:rPr>
          <w:rFonts w:hint="eastAsia"/>
          <w:highlight w:val="none"/>
          <w:lang w:val="en-US" w:eastAsia="zh-CN"/>
        </w:rPr>
        <w:t>范围、</w:t>
      </w:r>
      <w:r>
        <w:rPr>
          <w:rFonts w:hint="eastAsia"/>
          <w:highlight w:val="none"/>
        </w:rPr>
        <w:t>分时电价峰谷比例</w:t>
      </w:r>
      <w:r>
        <w:rPr>
          <w:rFonts w:hint="eastAsia"/>
          <w:highlight w:val="none"/>
          <w:lang w:val="en-US" w:eastAsia="zh-CN"/>
        </w:rPr>
        <w:t>要求以及其他分时电价要求，根据国家及</w:t>
      </w:r>
      <w:r>
        <w:rPr>
          <w:rFonts w:hint="eastAsia"/>
          <w:highlight w:val="none"/>
        </w:rPr>
        <w:t>云南省</w:t>
      </w:r>
      <w:r>
        <w:rPr>
          <w:rFonts w:hint="eastAsia"/>
          <w:highlight w:val="none"/>
          <w:lang w:val="en-US" w:eastAsia="zh-CN"/>
        </w:rPr>
        <w:t>级</w:t>
      </w:r>
      <w:r>
        <w:rPr>
          <w:rFonts w:hint="eastAsia"/>
          <w:highlight w:val="none"/>
        </w:rPr>
        <w:t>政府主管部门</w:t>
      </w:r>
      <w:r>
        <w:rPr>
          <w:rFonts w:hint="eastAsia"/>
          <w:highlight w:val="none"/>
          <w:lang w:val="en-US" w:eastAsia="zh-CN"/>
        </w:rPr>
        <w:t>的</w:t>
      </w:r>
      <w:r>
        <w:rPr>
          <w:rFonts w:hint="eastAsia"/>
          <w:highlight w:val="none"/>
        </w:rPr>
        <w:t>分时电价政策</w:t>
      </w:r>
      <w:r>
        <w:rPr>
          <w:rFonts w:hint="eastAsia"/>
          <w:highlight w:val="none"/>
          <w:lang w:val="en-US" w:eastAsia="zh-CN"/>
        </w:rPr>
        <w:t>执行。云南省电力市场的</w:t>
      </w:r>
      <w:r>
        <w:rPr>
          <w:rFonts w:hint="eastAsia"/>
          <w:highlight w:val="none"/>
          <w:lang w:eastAsia="zh-CN"/>
        </w:rPr>
        <w:t>经营主体</w:t>
      </w:r>
      <w:r>
        <w:rPr>
          <w:rFonts w:hint="eastAsia"/>
          <w:highlight w:val="none"/>
        </w:rPr>
        <w:t>应签订分时段电力中长期合同，反映各时段价格，分时段交易和结算价格按照市场机制形成。具体参与分时段交易结算的用户范围由省级政府主管部门明确。</w:t>
      </w:r>
    </w:p>
    <w:p w14:paraId="32C81765">
      <w:pPr>
        <w:numPr>
          <w:ilvl w:val="0"/>
          <w:numId w:val="4"/>
        </w:numPr>
        <w:shd w:val="clear"/>
        <w:ind w:firstLine="640"/>
        <w:rPr>
          <w:highlight w:val="none"/>
        </w:rPr>
      </w:pPr>
      <w:r>
        <w:rPr>
          <w:rFonts w:hint="eastAsia"/>
          <w:highlight w:val="none"/>
        </w:rPr>
        <w:t>除国家有明确规定的情况外，双边协商交易原则上不进行限价。在集中竞价交易、连续挂牌等集中交易中，为避免市场操纵以及恶性竞争，可对报价或者出清价格设置上、下限。价格上、下限原则上由云南电力市场管理委员会提出，经云南能源监管办会同云南省发展改革委、云南省能源局共同审定，应当避免政府不当干预。其中，燃煤发电交易价格</w:t>
      </w:r>
      <w:r>
        <w:rPr>
          <w:rFonts w:hint="eastAsia"/>
          <w:highlight w:val="none"/>
          <w:lang w:val="en-US" w:eastAsia="zh-CN"/>
        </w:rPr>
        <w:t>浮动范围及相关要求按照</w:t>
      </w:r>
      <w:r>
        <w:rPr>
          <w:rFonts w:hint="eastAsia"/>
          <w:highlight w:val="none"/>
        </w:rPr>
        <w:t>国家</w:t>
      </w:r>
      <w:r>
        <w:rPr>
          <w:rFonts w:hint="eastAsia"/>
          <w:highlight w:val="none"/>
          <w:lang w:val="en-US" w:eastAsia="zh-CN"/>
        </w:rPr>
        <w:t>及云南省</w:t>
      </w:r>
      <w:r>
        <w:rPr>
          <w:rFonts w:hint="eastAsia"/>
          <w:highlight w:val="none"/>
        </w:rPr>
        <w:t>有关规定执行。</w:t>
      </w:r>
    </w:p>
    <w:p w14:paraId="19AC27F1">
      <w:pPr>
        <w:numPr>
          <w:ilvl w:val="0"/>
          <w:numId w:val="4"/>
        </w:numPr>
        <w:shd w:val="clear"/>
        <w:ind w:firstLine="640"/>
        <w:rPr>
          <w:highlight w:val="none"/>
        </w:rPr>
      </w:pPr>
      <w:r>
        <w:rPr>
          <w:rFonts w:hint="eastAsia" w:ascii="Times New Roman" w:hAnsi="Times New Roman" w:eastAsia="仿宋" w:cs="华文仿宋"/>
          <w:color w:val="000000" w:themeColor="text1"/>
          <w:sz w:val="32"/>
          <w:szCs w:val="32"/>
          <w:highlight w:val="none"/>
          <w14:textFill>
            <w14:solidFill>
              <w14:schemeClr w14:val="tx1"/>
            </w14:solidFill>
          </w14:textFill>
        </w:rPr>
        <w:t>清洁能源</w:t>
      </w:r>
      <w:r>
        <w:rPr>
          <w:rFonts w:hint="eastAsia" w:ascii="Times New Roman" w:hAnsi="Times New Roman" w:eastAsia="仿宋" w:cs="宋体"/>
          <w:color w:val="auto"/>
          <w:sz w:val="32"/>
          <w:szCs w:val="24"/>
          <w:highlight w:val="none"/>
        </w:rPr>
        <w:t>市场</w:t>
      </w:r>
      <w:r>
        <w:rPr>
          <w:rFonts w:hint="eastAsia" w:ascii="Times New Roman" w:hAnsi="Times New Roman" w:eastAsia="仿宋" w:cs="华文仿宋"/>
          <w:color w:val="000000" w:themeColor="text1"/>
          <w:sz w:val="32"/>
          <w:szCs w:val="32"/>
          <w:highlight w:val="none"/>
          <w14:textFill>
            <w14:solidFill>
              <w14:schemeClr w14:val="tx1"/>
            </w14:solidFill>
          </w14:textFill>
        </w:rPr>
        <w:t>上调服务基准价</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w:t>
      </w:r>
      <w:r>
        <w:rPr>
          <w:rFonts w:hint="eastAsia" w:ascii="Times New Roman" w:hAnsi="Times New Roman" w:cs="华文仿宋"/>
          <w:color w:val="000000" w:themeColor="text1"/>
          <w:szCs w:val="32"/>
          <w:highlight w:val="none"/>
          <w14:textFill>
            <w14:solidFill>
              <w14:schemeClr w14:val="tx1"/>
            </w14:solidFill>
          </w14:textFill>
        </w:rPr>
        <w:t>根据每日各个时段清洁能源市场中年度分月交易和月度交易的成交量价情况，计算得到每日各时段的清洁能源市场上调服务基准价</w:t>
      </w:r>
      <w:r>
        <w:rPr>
          <w:rFonts w:hint="eastAsia" w:ascii="Times New Roman" w:hAnsi="Times New Roman" w:cs="华文仿宋"/>
          <w:i/>
          <w:iCs/>
          <w:color w:val="000000" w:themeColor="text1"/>
          <w:szCs w:val="32"/>
          <w:highlight w:val="none"/>
          <w14:textFill>
            <w14:solidFill>
              <w14:schemeClr w14:val="tx1"/>
            </w14:solidFill>
          </w14:textFill>
        </w:rPr>
        <w:t>P</w:t>
      </w:r>
      <w:r>
        <w:rPr>
          <w:rFonts w:hint="eastAsia" w:ascii="Times New Roman" w:hAnsi="Times New Roman" w:cs="华文仿宋"/>
          <w:color w:val="000000" w:themeColor="text1"/>
          <w:szCs w:val="32"/>
          <w:highlight w:val="none"/>
          <w:vertAlign w:val="subscript"/>
          <w14:textFill>
            <w14:solidFill>
              <w14:schemeClr w14:val="tx1"/>
            </w14:solidFill>
          </w14:textFill>
        </w:rPr>
        <w:t>0t</w:t>
      </w:r>
      <w:r>
        <w:rPr>
          <w:rFonts w:hint="eastAsia" w:ascii="Times New Roman" w:hAnsi="Times New Roman" w:cs="华文仿宋"/>
          <w:color w:val="000000" w:themeColor="text1"/>
          <w:szCs w:val="32"/>
          <w:highlight w:val="none"/>
          <w14:textFill>
            <w14:solidFill>
              <w14:schemeClr w14:val="tx1"/>
            </w14:solidFill>
          </w14:textFill>
        </w:rPr>
        <w:t>清洁。分时段</w:t>
      </w:r>
      <w:r>
        <w:rPr>
          <w:rFonts w:hint="eastAsia" w:ascii="Times New Roman" w:hAnsi="Times New Roman" w:cs="华文仿宋"/>
          <w:i/>
          <w:iCs/>
          <w:color w:val="000000" w:themeColor="text1"/>
          <w:szCs w:val="32"/>
          <w:highlight w:val="none"/>
          <w14:textFill>
            <w14:solidFill>
              <w14:schemeClr w14:val="tx1"/>
            </w14:solidFill>
          </w14:textFill>
        </w:rPr>
        <w:t>P</w:t>
      </w:r>
      <w:r>
        <w:rPr>
          <w:rFonts w:hint="eastAsia" w:ascii="Times New Roman" w:hAnsi="Times New Roman" w:cs="华文仿宋"/>
          <w:color w:val="000000" w:themeColor="text1"/>
          <w:szCs w:val="32"/>
          <w:highlight w:val="none"/>
          <w:vertAlign w:val="subscript"/>
          <w14:textFill>
            <w14:solidFill>
              <w14:schemeClr w14:val="tx1"/>
            </w14:solidFill>
          </w14:textFill>
        </w:rPr>
        <w:t>0t</w:t>
      </w:r>
      <w:r>
        <w:rPr>
          <w:rFonts w:hint="eastAsia" w:ascii="Times New Roman" w:hAnsi="Times New Roman" w:cs="华文仿宋"/>
          <w:color w:val="000000" w:themeColor="text1"/>
          <w:szCs w:val="32"/>
          <w:highlight w:val="none"/>
          <w14:textFill>
            <w14:solidFill>
              <w14:schemeClr w14:val="tx1"/>
            </w14:solidFill>
          </w14:textFill>
        </w:rPr>
        <w:t>清洁计算公式为：</w:t>
      </w:r>
    </w:p>
    <w:p w14:paraId="05792B6D">
      <w:pPr>
        <w:pStyle w:val="6"/>
        <w:shd w:val="clear"/>
        <w:spacing w:line="240" w:lineRule="auto"/>
        <w:ind w:left="113" w:firstLine="0" w:firstLineChars="0"/>
        <w:jc w:val="center"/>
        <w:rPr>
          <w:rFonts w:hint="default" w:ascii="Times New Roman" w:hAnsi="Times New Roman" w:cs="Times New Roman"/>
          <w:position w:val="-66"/>
          <w:highlight w:val="none"/>
        </w:rPr>
      </w:pPr>
      <w:r>
        <w:rPr>
          <w:rFonts w:hint="default" w:ascii="Times New Roman" w:hAnsi="Times New Roman" w:cs="Times New Roman"/>
          <w:position w:val="-66"/>
          <w:highlight w:val="none"/>
        </w:rPr>
        <w:object>
          <v:shape id="_x0000_i1025" o:spt="75" type="#_x0000_t75" style="height:61.45pt;width:376.65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5" r:id="rId15">
            <o:LockedField>false</o:LockedField>
          </o:OLEObject>
        </w:object>
      </w:r>
    </w:p>
    <w:p w14:paraId="101E538F">
      <w:pPr>
        <w:pStyle w:val="6"/>
        <w:shd w:val="clear"/>
        <w:ind w:left="113"/>
        <w:textAlignment w:val="center"/>
        <w:rPr>
          <w:rFonts w:hint="eastAsia"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上式中，</w:t>
      </w:r>
      <w:r>
        <w:rPr>
          <w:rFonts w:hint="eastAsia" w:ascii="Times New Roman" w:hAnsi="Times New Roman" w:eastAsia="仿宋" w:cs="华文仿宋"/>
          <w:color w:val="000000" w:themeColor="text1"/>
          <w:position w:val="0"/>
          <w:sz w:val="32"/>
          <w:szCs w:val="32"/>
          <w:highlight w:val="none"/>
          <w14:textFill>
            <w14:solidFill>
              <w14:schemeClr w14:val="tx1"/>
            </w14:solidFill>
          </w14:textFill>
        </w:rPr>
        <w:object>
          <v:shape id="_x0000_i1026" o:spt="75" type="#_x0000_t75" style="height:18.9pt;width:47.4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为批发交易用户j在t时段的清洁能源双边协商交易成交电量，</w:t>
      </w:r>
      <w:r>
        <w:rPr>
          <w:rFonts w:hint="eastAsia" w:ascii="Times New Roman" w:hAnsi="Times New Roman" w:eastAsia="仿宋" w:cs="华文仿宋"/>
          <w:color w:val="000000" w:themeColor="text1"/>
          <w:position w:val="0"/>
          <w:sz w:val="32"/>
          <w:szCs w:val="32"/>
          <w:highlight w:val="none"/>
          <w14:textFill>
            <w14:solidFill>
              <w14:schemeClr w14:val="tx1"/>
            </w14:solidFill>
          </w14:textFill>
        </w:rPr>
        <w:object>
          <v:shape id="_x0000_i1027" o:spt="75" type="#_x0000_t75" style="height:18.9pt;width:47.1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为批发交易用户j在t时段的清洁能源双边协商交易成交价格；</w:t>
      </w:r>
      <w:r>
        <w:rPr>
          <w:rFonts w:hint="eastAsia" w:ascii="Times New Roman" w:hAnsi="Times New Roman" w:eastAsia="仿宋" w:cs="华文仿宋"/>
          <w:color w:val="000000" w:themeColor="text1"/>
          <w:position w:val="0"/>
          <w:sz w:val="32"/>
          <w:szCs w:val="32"/>
          <w:highlight w:val="none"/>
          <w14:textFill>
            <w14:solidFill>
              <w14:schemeClr w14:val="tx1"/>
            </w14:solidFill>
          </w14:textFill>
        </w:rPr>
        <w:object>
          <v:shape id="_x0000_i1028" o:spt="75" type="#_x0000_t75" style="height:18.9pt;width:47.4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为批发交易用户j在t时段的清洁能源集中竞价交易成交电量，</w:t>
      </w:r>
      <w:r>
        <w:rPr>
          <w:rFonts w:hint="eastAsia" w:ascii="Times New Roman" w:hAnsi="Times New Roman" w:eastAsia="仿宋" w:cs="华文仿宋"/>
          <w:color w:val="000000" w:themeColor="text1"/>
          <w:position w:val="0"/>
          <w:sz w:val="32"/>
          <w:szCs w:val="32"/>
          <w:highlight w:val="none"/>
          <w14:textFill>
            <w14:solidFill>
              <w14:schemeClr w14:val="tx1"/>
            </w14:solidFill>
          </w14:textFill>
        </w:rPr>
        <w:object>
          <v:shape id="_x0000_i1029" o:spt="75" type="#_x0000_t75" style="height:18.9pt;width:47.1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为批发交易用户j在t时段的清洁能源集中竞价交易成交价格；</w:t>
      </w:r>
      <w:r>
        <w:rPr>
          <w:rFonts w:hint="eastAsia" w:ascii="Times New Roman" w:hAnsi="Times New Roman" w:eastAsia="仿宋" w:cs="华文仿宋"/>
          <w:color w:val="000000" w:themeColor="text1"/>
          <w:position w:val="0"/>
          <w:sz w:val="32"/>
          <w:szCs w:val="32"/>
          <w:highlight w:val="none"/>
          <w14:textFill>
            <w14:solidFill>
              <w14:schemeClr w14:val="tx1"/>
            </w14:solidFill>
          </w14:textFill>
        </w:rPr>
        <w:object>
          <v:shape id="_x0000_i1030" o:spt="75" type="#_x0000_t75" style="height:18.9pt;width:47.4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为批发交易用户j在t时段的清洁能源连续挂牌交易成交电量，</w:t>
      </w:r>
      <w:r>
        <w:rPr>
          <w:rFonts w:hint="eastAsia" w:ascii="Times New Roman" w:hAnsi="Times New Roman" w:eastAsia="仿宋" w:cs="华文仿宋"/>
          <w:color w:val="000000" w:themeColor="text1"/>
          <w:position w:val="0"/>
          <w:sz w:val="32"/>
          <w:szCs w:val="32"/>
          <w:highlight w:val="none"/>
          <w14:textFill>
            <w14:solidFill>
              <w14:schemeClr w14:val="tx1"/>
            </w14:solidFill>
          </w14:textFill>
        </w:rPr>
        <w:object>
          <v:shape id="_x0000_i1031" o:spt="75" type="#_x0000_t75" style="height:18.9pt;width:47.1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为批发交易用户j在t时段的清洁能源连续挂牌交易成交价格；</w:t>
      </w:r>
      <w:r>
        <w:rPr>
          <w:rFonts w:hint="eastAsia" w:ascii="Times New Roman" w:hAnsi="Times New Roman" w:eastAsia="仿宋" w:cs="华文仿宋"/>
          <w:color w:val="000000" w:themeColor="text1"/>
          <w:position w:val="-14"/>
          <w:sz w:val="32"/>
          <w:szCs w:val="32"/>
          <w:highlight w:val="none"/>
          <w14:textFill>
            <w14:solidFill>
              <w14:schemeClr w14:val="tx1"/>
            </w14:solidFill>
          </w14:textFill>
        </w:rPr>
        <w:object>
          <v:shape id="_x0000_i1032" o:spt="75" type="#_x0000_t75" style="height:18.9pt;width:33.6pt;" o:ole="t" filled="f" o:preferrelative="t" stroked="f" coordsize="21600,21600">
            <v:path/>
            <v:fill on="f" focussize="0,0"/>
            <v:stroke on="f"/>
            <v:imagedata r:id="rId30" o:title=""/>
            <o:lock v:ext="edit" aspectratio="t"/>
            <w10:wrap type="none"/>
            <w10:anchorlock/>
          </v:shape>
          <o:OLEObject Type="Embed" ProgID="Equation.3" ShapeID="_x0000_i1032" DrawAspect="Content" ObjectID="_1468075732" r:id="rId29">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为批发交易用户j在t时段的清洁能源挂牌交易成交电量，</w:t>
      </w:r>
      <w:r>
        <w:rPr>
          <w:rFonts w:hint="eastAsia" w:ascii="Times New Roman" w:hAnsi="Times New Roman" w:eastAsia="仿宋" w:cs="华文仿宋"/>
          <w:color w:val="000000" w:themeColor="text1"/>
          <w:position w:val="-14"/>
          <w:sz w:val="32"/>
          <w:szCs w:val="32"/>
          <w:highlight w:val="none"/>
          <w14:textFill>
            <w14:solidFill>
              <w14:schemeClr w14:val="tx1"/>
            </w14:solidFill>
          </w14:textFill>
        </w:rPr>
        <w:object>
          <v:shape id="_x0000_i1033" o:spt="75" type="#_x0000_t75" style="height:18.9pt;width:32.75pt;" o:ole="t" filled="f" o:preferrelative="t" stroked="f" coordsize="21600,21600">
            <v:path/>
            <v:fill on="f" focussize="0,0"/>
            <v:stroke on="f"/>
            <v:imagedata r:id="rId32" o:title=""/>
            <o:lock v:ext="edit" aspectratio="t"/>
            <w10:wrap type="none"/>
            <w10:anchorlock/>
          </v:shape>
          <o:OLEObject Type="Embed" ProgID="Equation.3" ShapeID="_x0000_i1033" DrawAspect="Content" ObjectID="_1468075733" r:id="rId31">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为批发交易用户j在t时段的清洁能源挂牌交易成交价格；</w:t>
      </w:r>
      <w:r>
        <w:rPr>
          <w:rFonts w:hint="eastAsia" w:ascii="Times New Roman" w:hAnsi="Times New Roman" w:eastAsia="仿宋" w:cs="华文仿宋"/>
          <w:color w:val="000000" w:themeColor="text1"/>
          <w:position w:val="0"/>
          <w:sz w:val="32"/>
          <w:szCs w:val="32"/>
          <w:highlight w:val="none"/>
          <w14:textFill>
            <w14:solidFill>
              <w14:schemeClr w14:val="tx1"/>
            </w14:solidFill>
          </w14:textFill>
        </w:rPr>
        <w:object>
          <v:shape id="_x0000_i1034" o:spt="75" type="#_x0000_t75" style="height:18.9pt;width:56.1pt;" o:ole="t" filled="f" o:preferrelative="t" stroked="f" coordsize="21600,21600">
            <v:path/>
            <v:fill on="f" focussize="0,0"/>
            <v:stroke on="f" joinstyle="miter"/>
            <v:imagedata r:id="rId34" o:title=""/>
            <o:lock v:ext="edit" aspectratio="t"/>
            <w10:wrap type="none"/>
            <w10:anchorlock/>
          </v:shape>
          <o:OLEObject Type="Embed" ProgID="Equation.3" ShapeID="_x0000_i1034" DrawAspect="Content" ObjectID="_1468075734" r:id="rId33">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为参与市场化交易的批发交易用户总数。</w:t>
      </w:r>
    </w:p>
    <w:p w14:paraId="1094333A">
      <w:pPr>
        <w:shd w:val="clear"/>
        <w:rPr>
          <w:rFonts w:hint="eastAsia"/>
          <w:highlight w:val="none"/>
        </w:rPr>
      </w:pPr>
      <w:r>
        <w:rPr>
          <w:rFonts w:hint="eastAsia" w:ascii="Times New Roman" w:hAnsi="Times New Roman" w:eastAsia="仿宋" w:cs="华文仿宋"/>
          <w:color w:val="000000" w:themeColor="text1"/>
          <w:sz w:val="32"/>
          <w:szCs w:val="32"/>
          <w:highlight w:val="none"/>
          <w14:textFill>
            <w14:solidFill>
              <w14:schemeClr w14:val="tx1"/>
            </w14:solidFill>
          </w14:textFill>
        </w:rPr>
        <w:t>根据</w:t>
      </w:r>
      <w:r>
        <w:rPr>
          <w:rFonts w:hint="eastAsia" w:ascii="Times New Roman" w:hAnsi="Times New Roman" w:eastAsia="仿宋" w:cs="华文仿宋"/>
          <w:i/>
          <w:iCs/>
          <w:color w:val="000000" w:themeColor="text1"/>
          <w:sz w:val="32"/>
          <w:szCs w:val="32"/>
          <w:highlight w:val="none"/>
          <w:lang w:eastAsia="zh-CN"/>
          <w14:textFill>
            <w14:solidFill>
              <w14:schemeClr w14:val="tx1"/>
            </w14:solidFill>
          </w14:textFill>
        </w:rPr>
        <w:t>P</w:t>
      </w:r>
      <w:r>
        <w:rPr>
          <w:rFonts w:hint="eastAsia" w:ascii="Times New Roman" w:hAnsi="Times New Roman" w:eastAsia="仿宋" w:cs="华文仿宋"/>
          <w:i w:val="0"/>
          <w:iCs w:val="0"/>
          <w:color w:val="000000" w:themeColor="text1"/>
          <w:sz w:val="32"/>
          <w:szCs w:val="32"/>
          <w:highlight w:val="none"/>
          <w:vertAlign w:val="subscript"/>
          <w:lang w:eastAsia="zh-CN"/>
          <w14:textFill>
            <w14:solidFill>
              <w14:schemeClr w14:val="tx1"/>
            </w14:solidFill>
          </w14:textFill>
        </w:rPr>
        <w:t>0</w:t>
      </w:r>
      <w:r>
        <w:rPr>
          <w:rFonts w:hint="eastAsia" w:ascii="Times New Roman" w:hAnsi="Times New Roman" w:eastAsia="仿宋" w:cs="华文仿宋"/>
          <w:i/>
          <w:iCs/>
          <w:color w:val="000000" w:themeColor="text1"/>
          <w:sz w:val="32"/>
          <w:szCs w:val="32"/>
          <w:highlight w:val="none"/>
          <w:vertAlign w:val="subscript"/>
          <w:lang w:eastAsia="zh-CN"/>
          <w14:textFill>
            <w14:solidFill>
              <w14:schemeClr w14:val="tx1"/>
            </w14:solidFill>
          </w14:textFill>
        </w:rPr>
        <w:t>t</w:t>
      </w:r>
      <w:r>
        <w:rPr>
          <w:rFonts w:hint="eastAsia" w:ascii="Times New Roman" w:hAnsi="Times New Roman" w:eastAsia="仿宋" w:cs="华文仿宋"/>
          <w:color w:val="000000" w:themeColor="text1"/>
          <w:sz w:val="32"/>
          <w:szCs w:val="32"/>
          <w:highlight w:val="none"/>
          <w:vertAlign w:val="subscript"/>
          <w:lang w:eastAsia="zh-CN"/>
          <w14:textFill>
            <w14:solidFill>
              <w14:schemeClr w14:val="tx1"/>
            </w14:solidFill>
          </w14:textFill>
        </w:rPr>
        <w:t>清洁</w:t>
      </w:r>
      <w:r>
        <w:rPr>
          <w:rFonts w:hint="eastAsia" w:ascii="Times New Roman" w:hAnsi="Times New Roman" w:eastAsia="仿宋" w:cs="华文仿宋"/>
          <w:color w:val="000000" w:themeColor="text1"/>
          <w:sz w:val="32"/>
          <w:szCs w:val="32"/>
          <w:highlight w:val="none"/>
          <w14:textFill>
            <w14:solidFill>
              <w14:schemeClr w14:val="tx1"/>
            </w14:solidFill>
          </w14:textFill>
        </w:rPr>
        <w:t>计算月度加权均价后可得到清洁能源市场月度上调服务基准价均值</w:t>
      </w:r>
      <w:r>
        <w:rPr>
          <w:rFonts w:hint="eastAsia" w:ascii="Times New Roman" w:hAnsi="Times New Roman" w:eastAsia="仿宋" w:cs="华文仿宋"/>
          <w:i/>
          <w:iCs/>
          <w:color w:val="000000" w:themeColor="text1"/>
          <w:sz w:val="32"/>
          <w:szCs w:val="32"/>
          <w:highlight w:val="none"/>
          <w:lang w:eastAsia="zh-CN"/>
          <w14:textFill>
            <w14:solidFill>
              <w14:schemeClr w14:val="tx1"/>
            </w14:solidFill>
          </w14:textFill>
        </w:rPr>
        <w:t>P</w:t>
      </w:r>
      <w:r>
        <w:rPr>
          <w:rFonts w:hint="eastAsia" w:ascii="Times New Roman" w:hAnsi="Times New Roman" w:eastAsia="仿宋" w:cs="华文仿宋"/>
          <w:i w:val="0"/>
          <w:iCs w:val="0"/>
          <w:color w:val="000000" w:themeColor="text1"/>
          <w:sz w:val="32"/>
          <w:szCs w:val="32"/>
          <w:highlight w:val="none"/>
          <w:vertAlign w:val="subscript"/>
          <w:lang w:eastAsia="zh-CN"/>
          <w14:textFill>
            <w14:solidFill>
              <w14:schemeClr w14:val="tx1"/>
            </w14:solidFill>
          </w14:textFill>
        </w:rPr>
        <w:t>0</w:t>
      </w:r>
      <w:r>
        <w:rPr>
          <w:rFonts w:hint="eastAsia" w:ascii="Times New Roman" w:hAnsi="Times New Roman" w:eastAsia="仿宋" w:cs="华文仿宋"/>
          <w:color w:val="000000" w:themeColor="text1"/>
          <w:sz w:val="32"/>
          <w:szCs w:val="32"/>
          <w:highlight w:val="none"/>
          <w14:textFill>
            <w14:solidFill>
              <w14:schemeClr w14:val="tx1"/>
            </w14:solidFill>
          </w14:textFill>
        </w:rPr>
        <w:t>。</w:t>
      </w:r>
    </w:p>
    <w:p w14:paraId="14CD78FE">
      <w:pPr>
        <w:numPr>
          <w:ilvl w:val="0"/>
          <w:numId w:val="4"/>
        </w:numPr>
        <w:shd w:val="clear"/>
        <w:ind w:firstLine="640"/>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pP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清洁</w:t>
      </w:r>
      <w:r>
        <w:rPr>
          <w:rFonts w:hint="eastAsia" w:ascii="Times New Roman" w:hAnsi="Times New Roman" w:eastAsia="仿宋" w:cs="宋体"/>
          <w:color w:val="auto"/>
          <w:sz w:val="32"/>
          <w:szCs w:val="24"/>
          <w:highlight w:val="none"/>
          <w:lang w:val="en-US" w:eastAsia="zh-CN"/>
        </w:rPr>
        <w:t>能源</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市场偏差电量基准价</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。根据每日各时段清洁能源市场的所有成交量价情况（含日交易），计算得到每日各时段的清洁能源市场偏差电量基准价</w:t>
      </w:r>
      <w:r>
        <w:rPr>
          <w:rFonts w:hint="eastAsia" w:ascii="Times New Roman" w:hAnsi="Times New Roman" w:eastAsia="仿宋" w:cs="华文仿宋"/>
          <w:i/>
          <w:iCs/>
          <w:color w:val="000000" w:themeColor="text1"/>
          <w:sz w:val="32"/>
          <w:szCs w:val="32"/>
          <w:highlight w:val="none"/>
          <w:lang w:eastAsia="zh-CN"/>
          <w14:textFill>
            <w14:solidFill>
              <w14:schemeClr w14:val="tx1"/>
            </w14:solidFill>
          </w14:textFill>
        </w:rPr>
        <w:t>P</w:t>
      </w:r>
      <w:r>
        <w:rPr>
          <w:rFonts w:hint="eastAsia" w:ascii="Times New Roman" w:hAnsi="Times New Roman" w:eastAsia="仿宋" w:cs="华文仿宋"/>
          <w:i/>
          <w:iCs/>
          <w:color w:val="000000" w:themeColor="text1"/>
          <w:sz w:val="32"/>
          <w:szCs w:val="32"/>
          <w:highlight w:val="none"/>
          <w:vertAlign w:val="subscript"/>
          <w:lang w:eastAsia="zh-CN"/>
          <w14:textFill>
            <w14:solidFill>
              <w14:schemeClr w14:val="tx1"/>
            </w14:solidFill>
          </w14:textFill>
        </w:rPr>
        <w:t>dt</w:t>
      </w:r>
      <w:r>
        <w:rPr>
          <w:rFonts w:hint="eastAsia" w:ascii="Times New Roman" w:hAnsi="Times New Roman" w:eastAsia="仿宋" w:cs="华文仿宋"/>
          <w:color w:val="000000" w:themeColor="text1"/>
          <w:sz w:val="32"/>
          <w:szCs w:val="32"/>
          <w:highlight w:val="none"/>
          <w:vertAlign w:val="subscript"/>
          <w:lang w:eastAsia="zh-CN"/>
          <w14:textFill>
            <w14:solidFill>
              <w14:schemeClr w14:val="tx1"/>
            </w14:solidFill>
          </w14:textFill>
        </w:rPr>
        <w:t>清洁</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，作为分时段偏差电量的结算价格。分时段</w:t>
      </w:r>
      <w:r>
        <w:rPr>
          <w:rFonts w:hint="eastAsia" w:ascii="Times New Roman" w:hAnsi="Times New Roman" w:eastAsia="仿宋" w:cs="华文仿宋"/>
          <w:i/>
          <w:iCs/>
          <w:color w:val="000000" w:themeColor="text1"/>
          <w:sz w:val="32"/>
          <w:szCs w:val="32"/>
          <w:highlight w:val="none"/>
          <w:lang w:eastAsia="zh-CN"/>
          <w14:textFill>
            <w14:solidFill>
              <w14:schemeClr w14:val="tx1"/>
            </w14:solidFill>
          </w14:textFill>
        </w:rPr>
        <w:t>P</w:t>
      </w:r>
      <w:r>
        <w:rPr>
          <w:rFonts w:hint="eastAsia" w:ascii="Times New Roman" w:hAnsi="Times New Roman" w:eastAsia="仿宋" w:cs="华文仿宋"/>
          <w:i/>
          <w:iCs/>
          <w:color w:val="000000" w:themeColor="text1"/>
          <w:sz w:val="32"/>
          <w:szCs w:val="32"/>
          <w:highlight w:val="none"/>
          <w:vertAlign w:val="subscript"/>
          <w:lang w:eastAsia="zh-CN"/>
          <w14:textFill>
            <w14:solidFill>
              <w14:schemeClr w14:val="tx1"/>
            </w14:solidFill>
          </w14:textFill>
        </w:rPr>
        <w:t>dt</w:t>
      </w:r>
      <w:r>
        <w:rPr>
          <w:rFonts w:hint="eastAsia" w:ascii="Times New Roman" w:hAnsi="Times New Roman" w:eastAsia="仿宋" w:cs="华文仿宋"/>
          <w:color w:val="000000" w:themeColor="text1"/>
          <w:sz w:val="32"/>
          <w:szCs w:val="32"/>
          <w:highlight w:val="none"/>
          <w:vertAlign w:val="subscript"/>
          <w:lang w:eastAsia="zh-CN"/>
          <w14:textFill>
            <w14:solidFill>
              <w14:schemeClr w14:val="tx1"/>
            </w14:solidFill>
          </w14:textFill>
        </w:rPr>
        <w:t>清洁</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计算公式为：</w:t>
      </w:r>
    </w:p>
    <w:p w14:paraId="4A6B77A4">
      <w:pPr>
        <w:pStyle w:val="6"/>
        <w:keepNext w:val="0"/>
        <w:keepLines w:val="0"/>
        <w:pageBreakBefore w:val="0"/>
        <w:widowControl w:val="0"/>
        <w:shd w:val="clear"/>
        <w:kinsoku/>
        <w:wordWrap/>
        <w:overflowPunct/>
        <w:topLinePunct w:val="0"/>
        <w:autoSpaceDE/>
        <w:autoSpaceDN/>
        <w:bidi w:val="0"/>
        <w:adjustRightInd/>
        <w:snapToGrid/>
        <w:spacing w:line="240" w:lineRule="auto"/>
        <w:ind w:left="113" w:firstLine="0" w:firstLineChars="0"/>
        <w:textAlignment w:val="auto"/>
        <w:rPr>
          <w:rFonts w:hint="eastAsia" w:ascii="Times New Roman" w:hAnsi="Times New Roman" w:eastAsia="仿宋" w:cs="华文仿宋"/>
          <w:color w:val="000000" w:themeColor="text1"/>
          <w:sz w:val="32"/>
          <w:szCs w:val="32"/>
          <w:highlight w:val="none"/>
          <w14:textFill>
            <w14:solidFill>
              <w14:schemeClr w14:val="tx1"/>
            </w14:solidFill>
          </w14:textFill>
        </w:rPr>
      </w:pPr>
      <w:r>
        <w:rPr>
          <w:rFonts w:hint="default" w:cs="Times New Roman"/>
          <w:position w:val="-66"/>
          <w:highlight w:val="none"/>
        </w:rPr>
        <w:object>
          <v:shape id="_x0000_i1035" o:spt="75" type="#_x0000_t75" style="height:66.5pt;width:406.65pt;" o:ole="t" filled="f" o:preferrelative="t" stroked="f" coordsize="21600,21600">
            <v:path/>
            <v:fill on="f" focussize="0,0"/>
            <v:stroke on="f"/>
            <v:imagedata r:id="rId36" o:title=""/>
            <o:lock v:ext="edit" aspectratio="t"/>
            <w10:wrap type="none"/>
            <w10:anchorlock/>
          </v:shape>
          <o:OLEObject Type="Embed" ProgID="Equation.3" ShapeID="_x0000_i1035" DrawAspect="Content" ObjectID="_1468075735" r:id="rId35">
            <o:LockedField>false</o:LockedField>
          </o:OLEObject>
        </w:object>
      </w:r>
      <w:r>
        <w:rPr>
          <w:rFonts w:hint="eastAsia" w:ascii="Times New Roman" w:hAnsi="Times New Roman" w:eastAsia="仿宋" w:cs="华文仿宋"/>
          <w:color w:val="000000" w:themeColor="text1"/>
          <w:sz w:val="32"/>
          <w:szCs w:val="32"/>
          <w:highlight w:val="none"/>
          <w14:textFill>
            <w14:solidFill>
              <w14:schemeClr w14:val="tx1"/>
            </w14:solidFill>
          </w14:textFill>
        </w:rPr>
        <w:t>上式中，上标'表示批发交易用户在清洁能源市场中含日交易的所有成交量价情况。</w:t>
      </w:r>
    </w:p>
    <w:p w14:paraId="2AFE55A4">
      <w:pPr>
        <w:shd w:val="clear"/>
        <w:rPr>
          <w:rFonts w:hint="eastAsia"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根据</w:t>
      </w:r>
      <w:r>
        <w:rPr>
          <w:rFonts w:hint="eastAsia" w:ascii="Times New Roman" w:hAnsi="Times New Roman" w:eastAsia="仿宋" w:cs="华文仿宋"/>
          <w:i/>
          <w:iCs/>
          <w:color w:val="000000" w:themeColor="text1"/>
          <w:sz w:val="32"/>
          <w:szCs w:val="32"/>
          <w:highlight w:val="none"/>
          <w:lang w:eastAsia="zh-CN"/>
          <w14:textFill>
            <w14:solidFill>
              <w14:schemeClr w14:val="tx1"/>
            </w14:solidFill>
          </w14:textFill>
        </w:rPr>
        <w:t>P</w:t>
      </w:r>
      <w:r>
        <w:rPr>
          <w:rFonts w:hint="eastAsia" w:ascii="Times New Roman" w:hAnsi="Times New Roman" w:eastAsia="仿宋" w:cs="华文仿宋"/>
          <w:i/>
          <w:iCs/>
          <w:color w:val="000000" w:themeColor="text1"/>
          <w:sz w:val="32"/>
          <w:szCs w:val="32"/>
          <w:highlight w:val="none"/>
          <w:vertAlign w:val="subscript"/>
          <w:lang w:eastAsia="zh-CN"/>
          <w14:textFill>
            <w14:solidFill>
              <w14:schemeClr w14:val="tx1"/>
            </w14:solidFill>
          </w14:textFill>
        </w:rPr>
        <w:t>dt</w:t>
      </w:r>
      <w:r>
        <w:rPr>
          <w:rFonts w:hint="eastAsia" w:ascii="Times New Roman" w:hAnsi="Times New Roman" w:eastAsia="仿宋" w:cs="华文仿宋"/>
          <w:color w:val="000000" w:themeColor="text1"/>
          <w:sz w:val="32"/>
          <w:szCs w:val="32"/>
          <w:highlight w:val="none"/>
          <w:vertAlign w:val="subscript"/>
          <w:lang w:eastAsia="zh-CN"/>
          <w14:textFill>
            <w14:solidFill>
              <w14:schemeClr w14:val="tx1"/>
            </w14:solidFill>
          </w14:textFill>
        </w:rPr>
        <w:t>清洁</w:t>
      </w:r>
      <w:r>
        <w:rPr>
          <w:rFonts w:hint="eastAsia" w:ascii="Times New Roman" w:hAnsi="Times New Roman" w:eastAsia="仿宋" w:cs="华文仿宋"/>
          <w:color w:val="000000" w:themeColor="text1"/>
          <w:sz w:val="32"/>
          <w:szCs w:val="32"/>
          <w:highlight w:val="none"/>
          <w14:textFill>
            <w14:solidFill>
              <w14:schemeClr w14:val="tx1"/>
            </w14:solidFill>
          </w14:textFill>
        </w:rPr>
        <w:t>计算月度加权均价后可得到月度偏差电量基准价均值</w:t>
      </w:r>
      <w:r>
        <w:rPr>
          <w:rFonts w:hint="eastAsia" w:ascii="Times New Roman" w:hAnsi="Times New Roman" w:eastAsia="仿宋" w:cs="华文仿宋"/>
          <w:i/>
          <w:iCs/>
          <w:color w:val="000000" w:themeColor="text1"/>
          <w:sz w:val="32"/>
          <w:szCs w:val="32"/>
          <w:highlight w:val="none"/>
          <w:lang w:eastAsia="zh-CN"/>
          <w14:textFill>
            <w14:solidFill>
              <w14:schemeClr w14:val="tx1"/>
            </w14:solidFill>
          </w14:textFill>
        </w:rPr>
        <w:t>P</w:t>
      </w:r>
      <w:r>
        <w:rPr>
          <w:rFonts w:hint="eastAsia" w:ascii="Times New Roman" w:hAnsi="Times New Roman" w:eastAsia="仿宋" w:cs="华文仿宋"/>
          <w:i/>
          <w:iCs/>
          <w:color w:val="000000" w:themeColor="text1"/>
          <w:sz w:val="32"/>
          <w:szCs w:val="32"/>
          <w:highlight w:val="none"/>
          <w:vertAlign w:val="subscript"/>
          <w:lang w:eastAsia="zh-CN"/>
          <w14:textFill>
            <w14:solidFill>
              <w14:schemeClr w14:val="tx1"/>
            </w14:solidFill>
          </w14:textFill>
        </w:rPr>
        <w:t>d</w:t>
      </w:r>
      <w:r>
        <w:rPr>
          <w:rFonts w:hint="eastAsia" w:ascii="Times New Roman" w:hAnsi="Times New Roman" w:eastAsia="仿宋" w:cs="华文仿宋"/>
          <w:color w:val="000000" w:themeColor="text1"/>
          <w:sz w:val="32"/>
          <w:szCs w:val="32"/>
          <w:highlight w:val="none"/>
          <w14:textFill>
            <w14:solidFill>
              <w14:schemeClr w14:val="tx1"/>
            </w14:solidFill>
          </w14:textFill>
        </w:rPr>
        <w:t>。</w:t>
      </w:r>
    </w:p>
    <w:p w14:paraId="44CA44E6">
      <w:pPr>
        <w:numPr>
          <w:ilvl w:val="0"/>
          <w:numId w:val="4"/>
        </w:numPr>
        <w:shd w:val="clear"/>
        <w:ind w:firstLine="640"/>
        <w:rPr>
          <w:highlight w:val="none"/>
        </w:rPr>
      </w:pPr>
      <w:r>
        <w:rPr>
          <w:rFonts w:hint="eastAsia"/>
          <w:highlight w:val="none"/>
        </w:rPr>
        <w:t>上调服务基准价、偏差电量基准价应用于市场交易、结算、考核、市场管控等机制中，电力交易机构应及时公开发布计算结果及计算过程。</w:t>
      </w:r>
      <w:r>
        <w:rPr>
          <w:rFonts w:hint="eastAsia"/>
          <w:highlight w:val="none"/>
          <w:lang w:val="en-US" w:eastAsia="zh-CN"/>
        </w:rPr>
        <w:t>燃煤发电市场相关价格可参照清洁能源市场计算。</w:t>
      </w:r>
      <w:r>
        <w:rPr>
          <w:rFonts w:hint="eastAsia"/>
          <w:szCs w:val="32"/>
          <w:highlight w:val="none"/>
          <w:lang w:val="en-US" w:eastAsia="zh-CN"/>
        </w:rPr>
        <w:t>电力交易机构</w:t>
      </w:r>
      <w:r>
        <w:rPr>
          <w:rFonts w:hint="eastAsia"/>
          <w:highlight w:val="none"/>
        </w:rPr>
        <w:t>在交易结束、相关交易价格全部确定后计算并发布上调服务基准价</w:t>
      </w:r>
      <w:r>
        <w:rPr>
          <w:rFonts w:hint="eastAsia"/>
          <w:highlight w:val="none"/>
          <w:lang w:val="en-US" w:eastAsia="zh-CN"/>
        </w:rPr>
        <w:t>和</w:t>
      </w:r>
      <w:r>
        <w:rPr>
          <w:rFonts w:hint="eastAsia"/>
          <w:highlight w:val="none"/>
        </w:rPr>
        <w:t>偏差电量基准价，为</w:t>
      </w:r>
      <w:r>
        <w:rPr>
          <w:rFonts w:hint="eastAsia"/>
          <w:highlight w:val="none"/>
          <w:lang w:eastAsia="zh-CN"/>
        </w:rPr>
        <w:t>经营主体</w:t>
      </w:r>
      <w:r>
        <w:rPr>
          <w:rFonts w:hint="eastAsia"/>
          <w:highlight w:val="none"/>
        </w:rPr>
        <w:t>提供参考。原则上，</w:t>
      </w:r>
      <w:r>
        <w:rPr>
          <w:rFonts w:hint="eastAsia" w:ascii="Times New Roman" w:hAnsi="Times New Roman" w:eastAsia="仿宋" w:cs="华文仿宋"/>
          <w:color w:val="000000" w:themeColor="text1"/>
          <w:sz w:val="32"/>
          <w:szCs w:val="32"/>
          <w:highlight w:val="none"/>
          <w14:textFill>
            <w14:solidFill>
              <w14:schemeClr w14:val="tx1"/>
            </w14:solidFill>
          </w14:textFill>
        </w:rPr>
        <w:t>月度上调服务基准价</w:t>
      </w:r>
      <w:r>
        <w:rPr>
          <w:rFonts w:hint="eastAsia" w:ascii="Times New Roman" w:hAnsi="Times New Roman" w:eastAsia="仿宋" w:cs="华文仿宋"/>
          <w:i/>
          <w:iCs/>
          <w:color w:val="000000" w:themeColor="text1"/>
          <w:sz w:val="32"/>
          <w:szCs w:val="32"/>
          <w:highlight w:val="none"/>
          <w:lang w:eastAsia="zh-CN"/>
          <w14:textFill>
            <w14:solidFill>
              <w14:schemeClr w14:val="tx1"/>
            </w14:solidFill>
          </w14:textFill>
        </w:rPr>
        <w:t>P</w:t>
      </w:r>
      <w:r>
        <w:rPr>
          <w:rFonts w:hint="eastAsia" w:ascii="Times New Roman" w:hAnsi="Times New Roman" w:eastAsia="仿宋" w:cs="华文仿宋"/>
          <w:color w:val="000000" w:themeColor="text1"/>
          <w:sz w:val="32"/>
          <w:szCs w:val="32"/>
          <w:highlight w:val="none"/>
          <w:vertAlign w:val="subscript"/>
          <w14:textFill>
            <w14:solidFill>
              <w14:schemeClr w14:val="tx1"/>
            </w14:solidFill>
          </w14:textFill>
        </w:rPr>
        <w:t>0</w:t>
      </w:r>
      <w:r>
        <w:rPr>
          <w:rFonts w:hint="eastAsia" w:ascii="Times New Roman" w:hAnsi="Times New Roman" w:cs="华文仿宋"/>
          <w:color w:val="000000" w:themeColor="text1"/>
          <w:sz w:val="32"/>
          <w:szCs w:val="32"/>
          <w:highlight w:val="none"/>
          <w:vertAlign w:val="baseline"/>
          <w:lang w:val="en-US" w:eastAsia="zh-CN"/>
          <w14:textFill>
            <w14:solidFill>
              <w14:schemeClr w14:val="tx1"/>
            </w14:solidFill>
          </w14:textFill>
        </w:rPr>
        <w:t>和</w:t>
      </w:r>
      <w:r>
        <w:rPr>
          <w:rFonts w:hint="eastAsia" w:ascii="Times New Roman" w:hAnsi="Times New Roman" w:eastAsia="仿宋" w:cs="华文仿宋"/>
          <w:color w:val="000000" w:themeColor="text1"/>
          <w:sz w:val="32"/>
          <w:szCs w:val="32"/>
          <w:highlight w:val="none"/>
          <w14:textFill>
            <w14:solidFill>
              <w14:schemeClr w14:val="tx1"/>
            </w14:solidFill>
          </w14:textFill>
        </w:rPr>
        <w:t>月度偏差电量基准价均值</w:t>
      </w:r>
      <w:r>
        <w:rPr>
          <w:rFonts w:hint="eastAsia" w:ascii="Times New Roman" w:hAnsi="Times New Roman" w:eastAsia="仿宋" w:cs="华文仿宋"/>
          <w:i/>
          <w:iCs/>
          <w:color w:val="000000" w:themeColor="text1"/>
          <w:sz w:val="32"/>
          <w:szCs w:val="32"/>
          <w:highlight w:val="none"/>
          <w:lang w:eastAsia="zh-CN"/>
          <w14:textFill>
            <w14:solidFill>
              <w14:schemeClr w14:val="tx1"/>
            </w14:solidFill>
          </w14:textFill>
        </w:rPr>
        <w:t>P</w:t>
      </w:r>
      <w:r>
        <w:rPr>
          <w:rFonts w:hint="eastAsia" w:ascii="Times New Roman" w:hAnsi="Times New Roman" w:eastAsia="仿宋" w:cs="华文仿宋"/>
          <w:i/>
          <w:iCs/>
          <w:color w:val="000000" w:themeColor="text1"/>
          <w:sz w:val="32"/>
          <w:szCs w:val="32"/>
          <w:highlight w:val="none"/>
          <w:vertAlign w:val="subscript"/>
          <w:lang w:eastAsia="zh-CN"/>
          <w14:textFill>
            <w14:solidFill>
              <w14:schemeClr w14:val="tx1"/>
            </w14:solidFill>
          </w14:textFill>
        </w:rPr>
        <w:t>d</w:t>
      </w:r>
      <w:r>
        <w:rPr>
          <w:rFonts w:hint="eastAsia" w:ascii="Times New Roman" w:hAnsi="Times New Roman" w:eastAsia="仿宋" w:cs="华文仿宋"/>
          <w:color w:val="000000" w:themeColor="text1"/>
          <w:sz w:val="32"/>
          <w:szCs w:val="32"/>
          <w:highlight w:val="none"/>
          <w14:textFill>
            <w14:solidFill>
              <w14:schemeClr w14:val="tx1"/>
            </w14:solidFill>
          </w14:textFill>
        </w:rPr>
        <w:t>以月底最后一个工作日发布值为准</w:t>
      </w:r>
      <w:r>
        <w:rPr>
          <w:rFonts w:hint="eastAsia" w:ascii="Times New Roman" w:hAnsi="Times New Roman" w:cs="华文仿宋"/>
          <w:color w:val="000000" w:themeColor="text1"/>
          <w:sz w:val="32"/>
          <w:szCs w:val="32"/>
          <w:highlight w:val="none"/>
          <w:lang w:eastAsia="zh-CN"/>
          <w14:textFill>
            <w14:solidFill>
              <w14:schemeClr w14:val="tx1"/>
            </w14:solidFill>
          </w14:textFill>
        </w:rPr>
        <w:t>，</w:t>
      </w:r>
      <w:r>
        <w:rPr>
          <w:rFonts w:hint="eastAsia"/>
          <w:highlight w:val="none"/>
        </w:rPr>
        <w:t>相关价格正式发布后不得再进行调整，如确需调整的应说明调整理由，并</w:t>
      </w:r>
      <w:r>
        <w:rPr>
          <w:rFonts w:hint="eastAsia"/>
          <w:highlight w:val="none"/>
          <w:lang w:val="en-US" w:eastAsia="zh-CN"/>
        </w:rPr>
        <w:t>上报</w:t>
      </w:r>
      <w:r>
        <w:rPr>
          <w:rFonts w:hint="eastAsia"/>
          <w:highlight w:val="none"/>
        </w:rPr>
        <w:t>云南能源监管办、云南省发展改革委和云南省能源局。</w:t>
      </w:r>
    </w:p>
    <w:p w14:paraId="1557A4B5">
      <w:pPr>
        <w:pStyle w:val="3"/>
        <w:shd w:val="clear"/>
        <w:rPr>
          <w:rFonts w:cs="Times New Roman"/>
          <w:highlight w:val="none"/>
        </w:rPr>
      </w:pPr>
      <w:r>
        <w:rPr>
          <w:rFonts w:hint="eastAsia" w:cs="Times New Roman"/>
          <w:highlight w:val="none"/>
        </w:rPr>
        <w:t>第</w:t>
      </w:r>
      <w:r>
        <w:rPr>
          <w:rFonts w:hint="eastAsia" w:cs="Times New Roman"/>
          <w:highlight w:val="none"/>
          <w:lang w:val="en-US" w:eastAsia="zh-CN"/>
        </w:rPr>
        <w:t>五</w:t>
      </w:r>
      <w:r>
        <w:rPr>
          <w:rFonts w:hint="eastAsia" w:cs="Times New Roman"/>
          <w:highlight w:val="none"/>
        </w:rPr>
        <w:t>章  交易组织</w:t>
      </w:r>
    </w:p>
    <w:p w14:paraId="39EB89E2">
      <w:pPr>
        <w:pStyle w:val="4"/>
        <w:shd w:val="clear"/>
        <w:rPr>
          <w:rFonts w:cs="Times New Roman"/>
          <w:highlight w:val="none"/>
        </w:rPr>
      </w:pPr>
      <w:r>
        <w:rPr>
          <w:rFonts w:hint="eastAsia" w:cs="Times New Roman"/>
          <w:highlight w:val="none"/>
        </w:rPr>
        <w:t>第一节  总体原则</w:t>
      </w:r>
    </w:p>
    <w:p w14:paraId="15CC0645">
      <w:pPr>
        <w:numPr>
          <w:ilvl w:val="0"/>
          <w:numId w:val="4"/>
        </w:numPr>
        <w:shd w:val="clear"/>
        <w:ind w:firstLine="640"/>
        <w:rPr>
          <w:rFonts w:ascii="仿宋" w:hAnsi="仿宋" w:cs="仿宋"/>
          <w:szCs w:val="32"/>
          <w:highlight w:val="none"/>
        </w:rPr>
      </w:pPr>
      <w:r>
        <w:rPr>
          <w:rFonts w:hint="eastAsia" w:ascii="仿宋" w:hAnsi="仿宋" w:cs="仿宋"/>
          <w:szCs w:val="32"/>
          <w:highlight w:val="none"/>
        </w:rPr>
        <w:t>云南省能源局应当在每年</w:t>
      </w:r>
      <w:r>
        <w:rPr>
          <w:rFonts w:hint="eastAsia" w:ascii="仿宋" w:hAnsi="仿宋" w:cs="仿宋"/>
          <w:szCs w:val="32"/>
          <w:highlight w:val="none"/>
          <w:lang w:val="en-US" w:eastAsia="zh-CN"/>
        </w:rPr>
        <w:t>11月底</w:t>
      </w:r>
      <w:r>
        <w:rPr>
          <w:rFonts w:hint="eastAsia" w:ascii="仿宋" w:hAnsi="仿宋" w:cs="仿宋"/>
          <w:szCs w:val="32"/>
          <w:highlight w:val="none"/>
        </w:rPr>
        <w:t>前确定并下达次年优先发电计划和基数电量。</w:t>
      </w:r>
      <w:r>
        <w:rPr>
          <w:rFonts w:hint="eastAsia" w:ascii="仿宋" w:hAnsi="仿宋" w:cs="仿宋"/>
          <w:szCs w:val="32"/>
          <w:highlight w:val="none"/>
          <w:lang w:val="en-US" w:eastAsia="zh-CN"/>
        </w:rPr>
        <w:t>电力交易机构</w:t>
      </w:r>
      <w:r>
        <w:rPr>
          <w:rFonts w:hint="eastAsia" w:ascii="仿宋" w:hAnsi="仿宋" w:cs="仿宋"/>
          <w:szCs w:val="32"/>
          <w:highlight w:val="none"/>
        </w:rPr>
        <w:t>按照年度（多年）、月度、周（多周）</w:t>
      </w:r>
      <w:r>
        <w:rPr>
          <w:rFonts w:hint="eastAsia" w:ascii="仿宋" w:hAnsi="仿宋" w:cs="仿宋"/>
          <w:szCs w:val="32"/>
          <w:highlight w:val="none"/>
          <w:lang w:eastAsia="zh-CN"/>
        </w:rPr>
        <w:t>、日</w:t>
      </w:r>
      <w:r>
        <w:rPr>
          <w:rFonts w:hint="eastAsia" w:ascii="仿宋" w:hAnsi="仿宋" w:cs="仿宋"/>
          <w:szCs w:val="32"/>
          <w:highlight w:val="none"/>
        </w:rPr>
        <w:t>（多日）的顺序</w:t>
      </w:r>
      <w:r>
        <w:rPr>
          <w:rFonts w:hint="eastAsia" w:ascii="仿宋" w:hAnsi="仿宋" w:cs="仿宋"/>
          <w:szCs w:val="32"/>
          <w:highlight w:val="none"/>
          <w:lang w:val="en-US" w:eastAsia="zh-CN"/>
        </w:rPr>
        <w:t>组织</w:t>
      </w:r>
      <w:r>
        <w:rPr>
          <w:rFonts w:hint="eastAsia" w:ascii="仿宋" w:hAnsi="仿宋" w:cs="仿宋"/>
          <w:szCs w:val="32"/>
          <w:highlight w:val="none"/>
        </w:rPr>
        <w:t>开展</w:t>
      </w:r>
      <w:r>
        <w:rPr>
          <w:rFonts w:hint="eastAsia" w:ascii="仿宋" w:hAnsi="仿宋" w:cs="仿宋"/>
          <w:szCs w:val="32"/>
          <w:highlight w:val="none"/>
          <w:lang w:val="en-US" w:eastAsia="zh-CN"/>
        </w:rPr>
        <w:t>电能量</w:t>
      </w:r>
      <w:r>
        <w:rPr>
          <w:rFonts w:hint="eastAsia" w:ascii="仿宋" w:hAnsi="仿宋" w:cs="仿宋"/>
          <w:szCs w:val="32"/>
          <w:highlight w:val="none"/>
        </w:rPr>
        <w:t>交易。</w:t>
      </w:r>
    </w:p>
    <w:p w14:paraId="039B7F90">
      <w:pPr>
        <w:numPr>
          <w:ilvl w:val="0"/>
          <w:numId w:val="4"/>
        </w:numPr>
        <w:shd w:val="clear"/>
        <w:ind w:firstLine="640"/>
        <w:rPr>
          <w:rFonts w:ascii="仿宋" w:hAnsi="仿宋" w:cs="仿宋"/>
          <w:szCs w:val="32"/>
          <w:highlight w:val="none"/>
        </w:rPr>
      </w:pPr>
      <w:r>
        <w:rPr>
          <w:rFonts w:hint="eastAsia" w:ascii="仿宋" w:hAnsi="仿宋" w:cs="仿宋"/>
          <w:szCs w:val="32"/>
          <w:highlight w:val="none"/>
        </w:rPr>
        <w:t>云南电力市场中长期交易通过电力交易机构运营的</w:t>
      </w:r>
      <w:r>
        <w:rPr>
          <w:rFonts w:hint="eastAsia"/>
          <w:highlight w:val="none"/>
        </w:rPr>
        <w:t>电力交易平台</w:t>
      </w:r>
      <w:r>
        <w:rPr>
          <w:rFonts w:hint="eastAsia" w:ascii="仿宋" w:hAnsi="仿宋" w:cs="仿宋"/>
          <w:szCs w:val="32"/>
          <w:highlight w:val="none"/>
        </w:rPr>
        <w:t>开展，交易申报信息（主体信息、电量、价格、申报时间等）以电力交易平台服务器接收到的申报信息为准。</w:t>
      </w:r>
    </w:p>
    <w:p w14:paraId="42C56D2A">
      <w:pPr>
        <w:numPr>
          <w:ilvl w:val="0"/>
          <w:numId w:val="4"/>
        </w:numPr>
        <w:shd w:val="clear"/>
        <w:ind w:firstLine="640"/>
        <w:rPr>
          <w:rFonts w:ascii="仿宋" w:hAnsi="仿宋" w:cs="仿宋"/>
          <w:szCs w:val="32"/>
          <w:highlight w:val="none"/>
        </w:rPr>
      </w:pPr>
      <w:r>
        <w:rPr>
          <w:rFonts w:hint="eastAsia" w:ascii="仿宋" w:hAnsi="仿宋" w:cs="仿宋"/>
          <w:szCs w:val="32"/>
          <w:highlight w:val="none"/>
          <w:lang w:eastAsia="zh-CN"/>
        </w:rPr>
        <w:t>经营主体</w:t>
      </w:r>
      <w:r>
        <w:rPr>
          <w:rFonts w:hint="eastAsia" w:ascii="仿宋" w:hAnsi="仿宋" w:cs="仿宋"/>
          <w:szCs w:val="32"/>
          <w:highlight w:val="none"/>
        </w:rPr>
        <w:t>通过年度（多年）交易、月度（多月）交易、周（多周）交易和日（多日）交易等满足发用电需求</w:t>
      </w:r>
      <w:r>
        <w:rPr>
          <w:rFonts w:hint="eastAsia" w:ascii="仿宋" w:hAnsi="仿宋" w:cs="仿宋"/>
          <w:szCs w:val="32"/>
          <w:highlight w:val="none"/>
          <w:lang w:eastAsia="zh-CN"/>
        </w:rPr>
        <w:t>经营主体</w:t>
      </w:r>
      <w:r>
        <w:rPr>
          <w:rFonts w:hint="eastAsia" w:ascii="仿宋" w:hAnsi="仿宋" w:cs="仿宋"/>
          <w:szCs w:val="32"/>
          <w:highlight w:val="none"/>
        </w:rPr>
        <w:t>，促进供需平衡。同一</w:t>
      </w:r>
      <w:r>
        <w:rPr>
          <w:rFonts w:hint="eastAsia" w:ascii="仿宋" w:hAnsi="仿宋" w:cs="仿宋"/>
          <w:szCs w:val="32"/>
          <w:highlight w:val="none"/>
          <w:lang w:eastAsia="zh-CN"/>
        </w:rPr>
        <w:t>经营主体</w:t>
      </w:r>
      <w:r>
        <w:rPr>
          <w:rFonts w:hint="eastAsia" w:ascii="仿宋" w:hAnsi="仿宋" w:cs="仿宋"/>
          <w:szCs w:val="32"/>
          <w:highlight w:val="none"/>
        </w:rPr>
        <w:t>在满足交易约束条件下，可根据生产消费需要，</w:t>
      </w:r>
      <w:r>
        <w:rPr>
          <w:rFonts w:hint="eastAsia" w:ascii="仿宋" w:hAnsi="仿宋" w:cs="仿宋"/>
          <w:szCs w:val="32"/>
          <w:highlight w:val="none"/>
          <w:lang w:val="en-US" w:eastAsia="zh-CN"/>
        </w:rPr>
        <w:t>在电力交易机构开展的</w:t>
      </w:r>
      <w:r>
        <w:rPr>
          <w:rFonts w:hint="eastAsia" w:ascii="仿宋" w:hAnsi="仿宋" w:cs="仿宋"/>
          <w:szCs w:val="32"/>
          <w:highlight w:val="none"/>
        </w:rPr>
        <w:t>周（多周）交易和日（多日）</w:t>
      </w:r>
      <w:r>
        <w:rPr>
          <w:rFonts w:hint="eastAsia" w:ascii="仿宋" w:hAnsi="仿宋" w:cs="仿宋"/>
          <w:szCs w:val="32"/>
          <w:highlight w:val="none"/>
          <w:lang w:val="en-US" w:eastAsia="zh-CN"/>
        </w:rPr>
        <w:t>交易双边中，</w:t>
      </w:r>
      <w:r>
        <w:rPr>
          <w:rFonts w:hint="eastAsia" w:ascii="仿宋" w:hAnsi="仿宋" w:cs="仿宋"/>
          <w:szCs w:val="32"/>
          <w:highlight w:val="none"/>
        </w:rPr>
        <w:t>选择购入或售出电能量。</w:t>
      </w:r>
      <w:r>
        <w:rPr>
          <w:rFonts w:hint="eastAsia" w:ascii="仿宋" w:hAnsi="仿宋" w:cs="仿宋"/>
          <w:szCs w:val="32"/>
          <w:highlight w:val="none"/>
          <w:lang w:val="en-US" w:eastAsia="zh-CN"/>
        </w:rPr>
        <w:t>在同一交易日的同一</w:t>
      </w:r>
      <w:r>
        <w:rPr>
          <w:rFonts w:hint="eastAsia" w:ascii="仿宋" w:hAnsi="仿宋" w:cs="仿宋"/>
          <w:szCs w:val="32"/>
          <w:highlight w:val="none"/>
        </w:rPr>
        <w:t>次交易组织中，除</w:t>
      </w:r>
      <w:r>
        <w:rPr>
          <w:rFonts w:hint="eastAsia" w:ascii="仿宋" w:hAnsi="仿宋" w:cs="仿宋"/>
          <w:szCs w:val="32"/>
          <w:highlight w:val="none"/>
          <w:lang w:eastAsia="zh-CN"/>
        </w:rPr>
        <w:t>新型经营主体</w:t>
      </w:r>
      <w:r>
        <w:rPr>
          <w:rFonts w:hint="eastAsia" w:ascii="仿宋" w:hAnsi="仿宋" w:cs="仿宋"/>
          <w:szCs w:val="32"/>
          <w:highlight w:val="none"/>
        </w:rPr>
        <w:t>外的经营主体不能在同一场次中同时以购电主体和售电主体参与</w:t>
      </w:r>
      <w:r>
        <w:rPr>
          <w:rFonts w:hint="eastAsia" w:ascii="仿宋" w:hAnsi="仿宋" w:cs="仿宋"/>
          <w:szCs w:val="32"/>
          <w:highlight w:val="none"/>
          <w:lang w:val="en-US" w:eastAsia="zh-CN"/>
        </w:rPr>
        <w:t>同一时段（1小时）</w:t>
      </w:r>
      <w:r>
        <w:rPr>
          <w:rFonts w:hint="eastAsia" w:ascii="仿宋" w:hAnsi="仿宋" w:cs="仿宋"/>
          <w:szCs w:val="32"/>
          <w:highlight w:val="none"/>
        </w:rPr>
        <w:t>标的</w:t>
      </w:r>
      <w:r>
        <w:rPr>
          <w:rFonts w:hint="eastAsia" w:ascii="仿宋" w:hAnsi="仿宋" w:cs="仿宋"/>
          <w:szCs w:val="32"/>
          <w:highlight w:val="none"/>
          <w:lang w:val="en-US" w:eastAsia="zh-CN"/>
        </w:rPr>
        <w:t>的</w:t>
      </w:r>
      <w:r>
        <w:rPr>
          <w:rFonts w:hint="eastAsia" w:ascii="仿宋" w:hAnsi="仿宋" w:cs="仿宋"/>
          <w:szCs w:val="32"/>
          <w:highlight w:val="none"/>
        </w:rPr>
        <w:t>交易，</w:t>
      </w:r>
      <w:r>
        <w:rPr>
          <w:rFonts w:hint="eastAsia" w:ascii="仿宋" w:hAnsi="仿宋" w:cs="仿宋"/>
          <w:szCs w:val="32"/>
          <w:highlight w:val="none"/>
          <w:lang w:val="en-US" w:eastAsia="zh-CN"/>
        </w:rPr>
        <w:t>且该时段（1小时）的交易方向</w:t>
      </w:r>
      <w:r>
        <w:rPr>
          <w:rFonts w:hint="eastAsia" w:ascii="仿宋" w:hAnsi="仿宋" w:cs="仿宋"/>
          <w:szCs w:val="32"/>
          <w:highlight w:val="none"/>
        </w:rPr>
        <w:t>以经营主体</w:t>
      </w:r>
      <w:r>
        <w:rPr>
          <w:rFonts w:hint="eastAsia" w:ascii="仿宋" w:hAnsi="仿宋" w:cs="仿宋"/>
          <w:szCs w:val="32"/>
          <w:highlight w:val="none"/>
          <w:lang w:val="en-US" w:eastAsia="zh-CN"/>
        </w:rPr>
        <w:t>当日该标的时段（1小时）的</w:t>
      </w:r>
      <w:r>
        <w:rPr>
          <w:rFonts w:hint="eastAsia" w:ascii="仿宋" w:hAnsi="仿宋" w:cs="仿宋"/>
          <w:szCs w:val="32"/>
          <w:highlight w:val="none"/>
        </w:rPr>
        <w:t>首笔</w:t>
      </w:r>
      <w:r>
        <w:rPr>
          <w:rFonts w:hint="eastAsia" w:ascii="仿宋" w:hAnsi="仿宋" w:cs="仿宋"/>
          <w:szCs w:val="32"/>
          <w:highlight w:val="none"/>
          <w:lang w:val="en-US" w:eastAsia="zh-CN"/>
        </w:rPr>
        <w:t>交易申报</w:t>
      </w:r>
      <w:r>
        <w:rPr>
          <w:rFonts w:hint="eastAsia" w:ascii="仿宋" w:hAnsi="仿宋" w:cs="仿宋"/>
          <w:szCs w:val="32"/>
          <w:highlight w:val="none"/>
        </w:rPr>
        <w:t>方向为准。</w:t>
      </w:r>
    </w:p>
    <w:p w14:paraId="74DD2609">
      <w:pPr>
        <w:numPr>
          <w:ilvl w:val="0"/>
          <w:numId w:val="4"/>
        </w:numPr>
        <w:shd w:val="clea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中长期电能量交易均需约定电力曲线或曲线分解原则。购售电主体也可自行协商确定电力曲线或曲线分解原则。</w:t>
      </w:r>
      <w:r>
        <w:rPr>
          <w:rFonts w:hint="eastAsia"/>
          <w:szCs w:val="32"/>
          <w:highlight w:val="none"/>
          <w:lang w:val="en-US" w:eastAsia="zh-CN"/>
        </w:rPr>
        <w:t>电力交易机构</w:t>
      </w:r>
      <w:r>
        <w:rPr>
          <w:rFonts w:hint="eastAsia" w:ascii="仿宋" w:hAnsi="仿宋" w:eastAsia="仿宋" w:cs="仿宋"/>
          <w:color w:val="auto"/>
          <w:sz w:val="32"/>
          <w:szCs w:val="32"/>
          <w:highlight w:val="none"/>
        </w:rPr>
        <w:t>可会同省级电力调度机构、电网企业提供典型曲线作为参考。</w:t>
      </w:r>
    </w:p>
    <w:p w14:paraId="500ED167">
      <w:pPr>
        <w:numPr>
          <w:ilvl w:val="0"/>
          <w:numId w:val="4"/>
        </w:numPr>
        <w:spacing w:line="560" w:lineRule="exact"/>
        <w:ind w:firstLine="640"/>
        <w:rPr>
          <w:rFonts w:hint="eastAsia"/>
          <w:highlight w:val="none"/>
        </w:rPr>
      </w:pPr>
      <w:r>
        <w:rPr>
          <w:rFonts w:hint="eastAsia" w:ascii="仿宋" w:hAnsi="仿宋" w:cs="仿宋"/>
          <w:color w:val="auto"/>
          <w:sz w:val="32"/>
          <w:szCs w:val="32"/>
          <w:highlight w:val="none"/>
          <w:lang w:val="en-US" w:eastAsia="zh-CN"/>
        </w:rPr>
        <w:t>合同要素。</w:t>
      </w:r>
      <w:r>
        <w:rPr>
          <w:rFonts w:hint="eastAsia" w:ascii="仿宋" w:hAnsi="仿宋" w:eastAsia="仿宋" w:cs="仿宋"/>
          <w:color w:val="auto"/>
          <w:sz w:val="32"/>
          <w:szCs w:val="32"/>
          <w:highlight w:val="none"/>
        </w:rPr>
        <w:t>中长期电能量交易合同应具备交易单元、合同周期、合同电量、电力曲线或曲线分解机制、交易价格或价格机制、结算参考点</w:t>
      </w:r>
      <w:r>
        <w:rPr>
          <w:rFonts w:hint="eastAsia" w:ascii="仿宋" w:hAnsi="仿宋" w:cs="仿宋"/>
          <w:color w:val="auto"/>
          <w:sz w:val="32"/>
          <w:szCs w:val="32"/>
          <w:highlight w:val="none"/>
          <w:lang w:eastAsia="zh-CN"/>
        </w:rPr>
        <w:t>（暂用用户侧统一结算点）</w:t>
      </w:r>
      <w:r>
        <w:rPr>
          <w:rFonts w:hint="eastAsia" w:ascii="仿宋" w:hAnsi="仿宋" w:eastAsia="仿宋" w:cs="仿宋"/>
          <w:color w:val="auto"/>
          <w:sz w:val="32"/>
          <w:szCs w:val="32"/>
          <w:highlight w:val="none"/>
        </w:rPr>
        <w:t>等合同要素。各类型发电企业之间、用电主体之间开展发电合同电量转让交易、用电合同电量转让交易，应明确交易曲线。</w:t>
      </w:r>
    </w:p>
    <w:p w14:paraId="443A4EA8">
      <w:pPr>
        <w:numPr>
          <w:ilvl w:val="0"/>
          <w:numId w:val="4"/>
        </w:numPr>
        <w:shd w:val="clea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省内中长期电能量交易的基本流程包括交易准备、交易公告、交易申报、</w:t>
      </w:r>
      <w:r>
        <w:rPr>
          <w:rFonts w:hint="eastAsia" w:ascii="仿宋" w:hAnsi="仿宋" w:eastAsia="仿宋" w:cs="仿宋"/>
          <w:sz w:val="32"/>
          <w:szCs w:val="32"/>
          <w:highlight w:val="none"/>
        </w:rPr>
        <w:t>申报数据合理性校验、</w:t>
      </w:r>
      <w:r>
        <w:rPr>
          <w:rFonts w:hint="eastAsia" w:ascii="仿宋" w:hAnsi="仿宋" w:eastAsia="仿宋" w:cs="仿宋"/>
          <w:color w:val="auto"/>
          <w:sz w:val="32"/>
          <w:szCs w:val="32"/>
          <w:highlight w:val="none"/>
        </w:rPr>
        <w:t>发布结果等环节。</w:t>
      </w:r>
    </w:p>
    <w:p w14:paraId="2C208F5A">
      <w:pPr>
        <w:numPr>
          <w:ilvl w:val="0"/>
          <w:numId w:val="9"/>
        </w:numPr>
        <w:shd w:val="clear"/>
        <w:ind w:firstLine="420" w:firstLineChars="0"/>
        <w:rPr>
          <w:rFonts w:hint="eastAsia" w:ascii="Times New Roman" w:hAnsi="Times New Roman" w:cs="华文仿宋"/>
          <w:szCs w:val="32"/>
          <w:highlight w:val="none"/>
        </w:rPr>
      </w:pPr>
      <w:r>
        <w:rPr>
          <w:rFonts w:hint="eastAsia" w:ascii="Times New Roman" w:hAnsi="Times New Roman" w:eastAsia="仿宋" w:cs="华文仿宋"/>
          <w:sz w:val="32"/>
          <w:szCs w:val="32"/>
          <w:highlight w:val="none"/>
        </w:rPr>
        <w:t>交易准备。</w:t>
      </w:r>
      <w:r>
        <w:rPr>
          <w:rFonts w:hint="eastAsia"/>
          <w:szCs w:val="32"/>
          <w:highlight w:val="none"/>
          <w:lang w:val="en-US" w:eastAsia="zh-CN"/>
        </w:rPr>
        <w:t>电力交易机构</w:t>
      </w:r>
      <w:r>
        <w:rPr>
          <w:rFonts w:hint="eastAsia" w:ascii="Times New Roman" w:hAnsi="Times New Roman" w:eastAsia="仿宋" w:cs="华文仿宋"/>
          <w:sz w:val="32"/>
          <w:szCs w:val="32"/>
          <w:highlight w:val="none"/>
        </w:rPr>
        <w:t>根据</w:t>
      </w:r>
      <w:r>
        <w:rPr>
          <w:rFonts w:hint="eastAsia" w:cs="华文仿宋"/>
          <w:sz w:val="32"/>
          <w:szCs w:val="32"/>
          <w:highlight w:val="none"/>
          <w:lang w:eastAsia="zh-CN"/>
        </w:rPr>
        <w:t>经营主体</w:t>
      </w:r>
      <w:r>
        <w:rPr>
          <w:rFonts w:hint="eastAsia" w:ascii="Times New Roman" w:hAnsi="Times New Roman" w:eastAsia="仿宋" w:cs="华文仿宋"/>
          <w:sz w:val="32"/>
          <w:szCs w:val="32"/>
          <w:highlight w:val="none"/>
        </w:rPr>
        <w:t>省内优先计划、电力电量平衡以及供需形势等进行省内电力中长期交易准备</w:t>
      </w:r>
      <w:r>
        <w:rPr>
          <w:rFonts w:hint="eastAsia" w:ascii="Times New Roman" w:hAnsi="Times New Roman" w:cs="华文仿宋"/>
          <w:sz w:val="32"/>
          <w:szCs w:val="32"/>
          <w:highlight w:val="none"/>
          <w:lang w:eastAsia="zh-CN"/>
        </w:rPr>
        <w:t>。</w:t>
      </w:r>
    </w:p>
    <w:p w14:paraId="17723407">
      <w:pPr>
        <w:numPr>
          <w:ilvl w:val="0"/>
          <w:numId w:val="9"/>
        </w:numPr>
        <w:shd w:val="clear"/>
        <w:ind w:firstLine="420" w:firstLineChars="0"/>
        <w:rPr>
          <w:rFonts w:hint="eastAsia" w:ascii="Times New Roman" w:hAnsi="Times New Roman" w:cs="华文仿宋"/>
          <w:szCs w:val="32"/>
          <w:highlight w:val="none"/>
        </w:rPr>
      </w:pPr>
      <w:r>
        <w:rPr>
          <w:rFonts w:hint="eastAsia" w:ascii="Times New Roman" w:hAnsi="Times New Roman" w:eastAsia="仿宋" w:cs="华文仿宋"/>
          <w:sz w:val="32"/>
          <w:szCs w:val="32"/>
          <w:highlight w:val="none"/>
        </w:rPr>
        <w:t>交易公告。</w:t>
      </w:r>
      <w:r>
        <w:rPr>
          <w:rFonts w:hint="eastAsia" w:cs="华文仿宋"/>
          <w:szCs w:val="32"/>
          <w:highlight w:val="none"/>
        </w:rPr>
        <w:t>交易公告内容包括交易品种、经营主体、交易方式、交易申报时间、交易合同执行开始时间及终止时间、交易参数、出清方式、交易约束信息、交易操作说明、其他准备信息等必要信息</w:t>
      </w:r>
      <w:r>
        <w:rPr>
          <w:rFonts w:hint="eastAsia" w:ascii="Times New Roman" w:hAnsi="Times New Roman" w:eastAsia="仿宋" w:cs="华文仿宋"/>
          <w:sz w:val="32"/>
          <w:szCs w:val="32"/>
          <w:highlight w:val="none"/>
        </w:rPr>
        <w:t>。</w:t>
      </w:r>
      <w:r>
        <w:rPr>
          <w:rFonts w:hint="eastAsia" w:cs="华文仿宋"/>
          <w:sz w:val="32"/>
          <w:szCs w:val="32"/>
          <w:highlight w:val="none"/>
          <w:lang w:val="en-US" w:eastAsia="zh-CN"/>
        </w:rPr>
        <w:t>具体</w:t>
      </w:r>
      <w:r>
        <w:rPr>
          <w:rFonts w:hint="eastAsia" w:ascii="Times New Roman" w:hAnsi="Times New Roman" w:eastAsia="仿宋" w:cs="华文仿宋"/>
          <w:sz w:val="32"/>
          <w:szCs w:val="32"/>
          <w:highlight w:val="none"/>
        </w:rPr>
        <w:t>内容</w:t>
      </w:r>
      <w:r>
        <w:rPr>
          <w:rFonts w:hint="eastAsia" w:ascii="Times New Roman" w:hAnsi="Times New Roman" w:cs="华文仿宋"/>
          <w:sz w:val="32"/>
          <w:szCs w:val="32"/>
          <w:highlight w:val="none"/>
          <w:lang w:val="en-US" w:eastAsia="zh-CN"/>
        </w:rPr>
        <w:t>及披露方式根据信息披露要求执行</w:t>
      </w:r>
      <w:r>
        <w:rPr>
          <w:rFonts w:hint="eastAsia" w:ascii="Times New Roman" w:hAnsi="Times New Roman" w:eastAsia="仿宋" w:cs="华文仿宋"/>
          <w:sz w:val="32"/>
          <w:szCs w:val="32"/>
          <w:highlight w:val="none"/>
        </w:rPr>
        <w:t>。</w:t>
      </w:r>
    </w:p>
    <w:p w14:paraId="44D7FD7D">
      <w:pPr>
        <w:numPr>
          <w:ilvl w:val="0"/>
          <w:numId w:val="9"/>
        </w:numPr>
        <w:shd w:val="clear"/>
        <w:ind w:firstLine="420" w:firstLineChars="0"/>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交易申报。</w:t>
      </w:r>
      <w:r>
        <w:rPr>
          <w:rFonts w:hint="eastAsia" w:cs="华文仿宋"/>
          <w:sz w:val="32"/>
          <w:szCs w:val="32"/>
          <w:highlight w:val="none"/>
          <w:lang w:eastAsia="zh-CN"/>
        </w:rPr>
        <w:t>经营主体</w:t>
      </w:r>
      <w:r>
        <w:rPr>
          <w:rFonts w:hint="eastAsia" w:ascii="Times New Roman" w:hAnsi="Times New Roman" w:eastAsia="仿宋" w:cs="华文仿宋"/>
          <w:sz w:val="32"/>
          <w:szCs w:val="32"/>
          <w:highlight w:val="none"/>
        </w:rPr>
        <w:t>通过电力交易平台申报电力、电量和价格等。</w:t>
      </w:r>
    </w:p>
    <w:p w14:paraId="46391BBC">
      <w:pPr>
        <w:numPr>
          <w:ilvl w:val="0"/>
          <w:numId w:val="9"/>
        </w:numPr>
        <w:shd w:val="clear"/>
        <w:ind w:firstLine="420" w:firstLineChars="0"/>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申报数据合理性校验。为降低市场操纵风险，保障电力中长期合同有效履约，</w:t>
      </w:r>
      <w:r>
        <w:rPr>
          <w:rFonts w:hint="eastAsia" w:cs="华文仿宋"/>
          <w:sz w:val="32"/>
          <w:szCs w:val="32"/>
          <w:highlight w:val="none"/>
          <w:lang w:eastAsia="zh-CN"/>
        </w:rPr>
        <w:t>经营主体</w:t>
      </w:r>
      <w:r>
        <w:rPr>
          <w:rFonts w:hint="eastAsia" w:ascii="Times New Roman" w:hAnsi="Times New Roman" w:eastAsia="仿宋" w:cs="华文仿宋"/>
          <w:sz w:val="32"/>
          <w:szCs w:val="32"/>
          <w:highlight w:val="none"/>
        </w:rPr>
        <w:t>所有申报数据均应通过</w:t>
      </w:r>
      <w:r>
        <w:rPr>
          <w:rFonts w:hint="eastAsia"/>
          <w:szCs w:val="32"/>
          <w:highlight w:val="none"/>
          <w:lang w:val="en-US" w:eastAsia="zh-CN"/>
        </w:rPr>
        <w:t>电力交易机构</w:t>
      </w:r>
      <w:r>
        <w:rPr>
          <w:rFonts w:hint="eastAsia" w:ascii="Times New Roman" w:hAnsi="Times New Roman" w:eastAsia="仿宋" w:cs="华文仿宋"/>
          <w:sz w:val="32"/>
          <w:szCs w:val="32"/>
          <w:highlight w:val="none"/>
        </w:rPr>
        <w:t>交易约束合理性校验。</w:t>
      </w:r>
    </w:p>
    <w:p w14:paraId="0A50F668">
      <w:pPr>
        <w:numPr>
          <w:ilvl w:val="0"/>
          <w:numId w:val="9"/>
        </w:numPr>
        <w:shd w:val="clear"/>
        <w:ind w:firstLine="420" w:firstLineChars="0"/>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交易出清。按照交易规则，</w:t>
      </w:r>
      <w:r>
        <w:rPr>
          <w:rFonts w:hint="eastAsia"/>
          <w:szCs w:val="32"/>
          <w:highlight w:val="none"/>
          <w:lang w:val="en-US" w:eastAsia="zh-CN"/>
        </w:rPr>
        <w:t>电力交易机构</w:t>
      </w:r>
      <w:r>
        <w:rPr>
          <w:rFonts w:hint="eastAsia" w:ascii="Times New Roman" w:hAnsi="Times New Roman" w:eastAsia="仿宋" w:cs="华文仿宋"/>
          <w:sz w:val="32"/>
          <w:szCs w:val="32"/>
          <w:highlight w:val="none"/>
        </w:rPr>
        <w:t>在</w:t>
      </w:r>
      <w:r>
        <w:rPr>
          <w:rFonts w:hint="eastAsia" w:ascii="Times New Roman" w:hAnsi="Times New Roman" w:eastAsia="仿宋" w:cs="华文仿宋"/>
          <w:color w:val="auto"/>
          <w:sz w:val="32"/>
          <w:szCs w:val="32"/>
          <w:highlight w:val="none"/>
        </w:rPr>
        <w:t>省级</w:t>
      </w:r>
      <w:r>
        <w:rPr>
          <w:rFonts w:hint="eastAsia" w:ascii="Times New Roman" w:hAnsi="Times New Roman" w:eastAsia="仿宋" w:cs="华文仿宋"/>
          <w:sz w:val="32"/>
          <w:szCs w:val="32"/>
          <w:highlight w:val="none"/>
        </w:rPr>
        <w:t>电力调度机构提供的安全约束条件下开展电力交易出清，形成预成交结果。</w:t>
      </w:r>
    </w:p>
    <w:p w14:paraId="163859DF">
      <w:pPr>
        <w:numPr>
          <w:ilvl w:val="0"/>
          <w:numId w:val="9"/>
        </w:numPr>
        <w:shd w:val="clear"/>
        <w:ind w:firstLine="420" w:firstLineChars="0"/>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结果发布。</w:t>
      </w:r>
      <w:r>
        <w:rPr>
          <w:rFonts w:hint="eastAsia"/>
          <w:szCs w:val="32"/>
          <w:highlight w:val="none"/>
          <w:lang w:val="en-US" w:eastAsia="zh-CN"/>
        </w:rPr>
        <w:t>电力交易机构</w:t>
      </w:r>
      <w:r>
        <w:rPr>
          <w:rFonts w:hint="eastAsia" w:ascii="Times New Roman" w:hAnsi="Times New Roman" w:eastAsia="仿宋" w:cs="华文仿宋"/>
          <w:sz w:val="32"/>
          <w:szCs w:val="32"/>
          <w:highlight w:val="none"/>
        </w:rPr>
        <w:t>发布交易结果。</w:t>
      </w:r>
      <w:r>
        <w:rPr>
          <w:rFonts w:hint="eastAsia" w:cs="华文仿宋"/>
          <w:sz w:val="32"/>
          <w:szCs w:val="32"/>
          <w:highlight w:val="none"/>
          <w:lang w:eastAsia="zh-CN"/>
        </w:rPr>
        <w:t>经营主体</w:t>
      </w:r>
      <w:r>
        <w:rPr>
          <w:rFonts w:hint="eastAsia" w:ascii="Times New Roman" w:hAnsi="Times New Roman" w:eastAsia="仿宋" w:cs="华文仿宋"/>
          <w:sz w:val="32"/>
          <w:szCs w:val="32"/>
          <w:highlight w:val="none"/>
        </w:rPr>
        <w:t>对交易结果有异议的，应在交易结果发布1个工作日内向</w:t>
      </w:r>
      <w:r>
        <w:rPr>
          <w:rFonts w:hint="eastAsia"/>
          <w:szCs w:val="32"/>
          <w:highlight w:val="none"/>
          <w:lang w:val="en-US" w:eastAsia="zh-CN"/>
        </w:rPr>
        <w:t>电力交易机构</w:t>
      </w:r>
      <w:r>
        <w:rPr>
          <w:rFonts w:hint="eastAsia" w:ascii="Times New Roman" w:hAnsi="Times New Roman" w:eastAsia="仿宋" w:cs="华文仿宋"/>
          <w:sz w:val="32"/>
          <w:szCs w:val="32"/>
          <w:highlight w:val="none"/>
        </w:rPr>
        <w:t>提出，由市场运营机构在1个工作日内给予解释。</w:t>
      </w:r>
    </w:p>
    <w:p w14:paraId="1F9EA245">
      <w:pPr>
        <w:numPr>
          <w:ilvl w:val="0"/>
          <w:numId w:val="4"/>
        </w:numPr>
        <w:shd w:val="clear"/>
        <w:ind w:firstLine="640"/>
        <w:rPr>
          <w:rFonts w:ascii="仿宋" w:hAnsi="仿宋" w:cs="仿宋"/>
          <w:szCs w:val="32"/>
          <w:highlight w:val="none"/>
        </w:rPr>
      </w:pPr>
      <w:r>
        <w:rPr>
          <w:rFonts w:hint="eastAsia" w:ascii="仿宋" w:hAnsi="仿宋" w:cs="仿宋"/>
          <w:szCs w:val="32"/>
          <w:highlight w:val="none"/>
        </w:rPr>
        <w:t>为应对清洁能源出力波动，防范市场风险，综合考虑来水预测、</w:t>
      </w:r>
      <w:r>
        <w:rPr>
          <w:rFonts w:hint="eastAsia" w:ascii="仿宋" w:hAnsi="仿宋" w:cs="仿宋"/>
          <w:szCs w:val="32"/>
          <w:highlight w:val="none"/>
          <w:lang w:eastAsia="zh-CN"/>
        </w:rPr>
        <w:t>气象条件、</w:t>
      </w:r>
      <w:r>
        <w:rPr>
          <w:rFonts w:hint="eastAsia" w:ascii="仿宋" w:hAnsi="仿宋" w:cs="仿宋"/>
          <w:szCs w:val="32"/>
          <w:highlight w:val="none"/>
        </w:rPr>
        <w:t>网络安全约束、检修计划等因素，确定电厂发电能力，可作为发电企业后续申报和成交电量的合理性校验条件；综合考虑电网检修、历史用电量、生产计划等因素，确定电力用户、售电公司用电需求，可作为电力用户、售电公司后续申报和成交电量的合理性校验条件。发电能力和用电需求</w:t>
      </w:r>
      <w:r>
        <w:rPr>
          <w:rFonts w:ascii="仿宋" w:hAnsi="仿宋" w:cs="仿宋"/>
          <w:szCs w:val="32"/>
          <w:highlight w:val="none"/>
        </w:rPr>
        <w:t>可</w:t>
      </w:r>
      <w:r>
        <w:rPr>
          <w:rFonts w:hint="eastAsia" w:ascii="仿宋" w:hAnsi="仿宋" w:cs="仿宋"/>
          <w:szCs w:val="32"/>
          <w:highlight w:val="none"/>
        </w:rPr>
        <w:t>按规则动态合理调整。</w:t>
      </w:r>
    </w:p>
    <w:p w14:paraId="5A195316">
      <w:pPr>
        <w:numPr>
          <w:ilvl w:val="0"/>
          <w:numId w:val="4"/>
        </w:numPr>
        <w:shd w:val="clear"/>
        <w:ind w:firstLine="640"/>
        <w:rPr>
          <w:rFonts w:ascii="仿宋" w:hAnsi="仿宋" w:cs="仿宋"/>
          <w:szCs w:val="32"/>
          <w:highlight w:val="none"/>
        </w:rPr>
      </w:pPr>
      <w:r>
        <w:rPr>
          <w:rFonts w:hint="eastAsia" w:ascii="仿宋" w:hAnsi="仿宋" w:cs="仿宋"/>
          <w:szCs w:val="32"/>
          <w:highlight w:val="none"/>
        </w:rPr>
        <w:t>交易的限定条件必须事前在交易公告中明确，原则上在申报组织以及出清过程中不得临时增加限定条件，确有必要的应当公开说明原因。</w:t>
      </w:r>
    </w:p>
    <w:p w14:paraId="5845C19F">
      <w:pPr>
        <w:numPr>
          <w:ilvl w:val="0"/>
          <w:numId w:val="4"/>
        </w:numPr>
        <w:shd w:val="clear"/>
        <w:ind w:firstLine="640"/>
        <w:rPr>
          <w:rFonts w:ascii="仿宋" w:hAnsi="仿宋" w:cs="仿宋"/>
          <w:szCs w:val="32"/>
          <w:highlight w:val="none"/>
        </w:rPr>
      </w:pPr>
      <w:r>
        <w:rPr>
          <w:rFonts w:hint="eastAsia" w:ascii="仿宋" w:hAnsi="仿宋" w:cs="仿宋"/>
          <w:szCs w:val="32"/>
          <w:highlight w:val="none"/>
        </w:rPr>
        <w:t>发电企业所有交易申报、成交电量均为上网侧电量；电力用户、售电公司所有交易申报、成交电量均为用电侧电量。所有申报数据均应通过发电能力、用电需求等合理性校验。</w:t>
      </w:r>
    </w:p>
    <w:p w14:paraId="01AAFE2B">
      <w:pPr>
        <w:numPr>
          <w:ilvl w:val="0"/>
          <w:numId w:val="4"/>
        </w:numPr>
        <w:shd w:val="clear"/>
        <w:ind w:firstLine="640"/>
        <w:rPr>
          <w:rFonts w:ascii="仿宋" w:hAnsi="仿宋" w:cs="仿宋"/>
          <w:szCs w:val="32"/>
          <w:highlight w:val="none"/>
        </w:rPr>
      </w:pPr>
      <w:r>
        <w:rPr>
          <w:rFonts w:hint="eastAsia" w:ascii="仿宋" w:hAnsi="仿宋" w:cs="仿宋"/>
          <w:szCs w:val="32"/>
          <w:highlight w:val="none"/>
        </w:rPr>
        <w:t>电力交易机构基于电力调度机构提供的安全约束条件开展</w:t>
      </w:r>
      <w:r>
        <w:rPr>
          <w:rFonts w:hint="eastAsia" w:ascii="仿宋" w:hAnsi="仿宋" w:cs="仿宋"/>
          <w:szCs w:val="32"/>
          <w:highlight w:val="none"/>
          <w:lang w:val="en-US" w:eastAsia="zh-CN"/>
        </w:rPr>
        <w:t>中长期</w:t>
      </w:r>
      <w:r>
        <w:rPr>
          <w:rFonts w:hint="eastAsia" w:ascii="仿宋" w:hAnsi="仿宋" w:cs="仿宋"/>
          <w:szCs w:val="32"/>
          <w:highlight w:val="none"/>
        </w:rPr>
        <w:t>电力交易出清。</w:t>
      </w:r>
    </w:p>
    <w:p w14:paraId="7F473DE1">
      <w:pPr>
        <w:numPr>
          <w:ilvl w:val="0"/>
          <w:numId w:val="4"/>
        </w:numPr>
        <w:shd w:val="clear"/>
        <w:ind w:firstLine="640"/>
        <w:rPr>
          <w:rFonts w:eastAsia="仿宋_GB2312" w:cs="Times New Roman"/>
          <w:szCs w:val="32"/>
          <w:highlight w:val="none"/>
        </w:rPr>
      </w:pPr>
      <w:r>
        <w:rPr>
          <w:rFonts w:hint="eastAsia" w:ascii="仿宋" w:hAnsi="仿宋" w:cs="仿宋"/>
          <w:szCs w:val="32"/>
          <w:highlight w:val="none"/>
        </w:rPr>
        <w:t>电力交易机构负责组织开展云南省可再生能源电力相关交易，指导参与电力交易的承担消纳责任的</w:t>
      </w:r>
      <w:r>
        <w:rPr>
          <w:rFonts w:hint="eastAsia" w:ascii="仿宋" w:hAnsi="仿宋" w:cs="仿宋"/>
          <w:szCs w:val="32"/>
          <w:highlight w:val="none"/>
          <w:lang w:eastAsia="zh-CN"/>
        </w:rPr>
        <w:t>经营主体</w:t>
      </w:r>
      <w:r>
        <w:rPr>
          <w:rFonts w:hint="eastAsia" w:ascii="仿宋" w:hAnsi="仿宋" w:cs="仿宋"/>
          <w:szCs w:val="32"/>
          <w:highlight w:val="none"/>
        </w:rPr>
        <w:t>优先完成可再生能源电力消纳相应的电力交易，在中长期电力交易合同审核、电力交易信息公布等环节对承担消纳责任的经营主体给予提醒。各承担消纳责任的</w:t>
      </w:r>
      <w:r>
        <w:rPr>
          <w:rFonts w:hint="eastAsia" w:ascii="仿宋" w:hAnsi="仿宋" w:cs="仿宋"/>
          <w:szCs w:val="32"/>
          <w:highlight w:val="none"/>
          <w:lang w:eastAsia="zh-CN"/>
        </w:rPr>
        <w:t>经营主体</w:t>
      </w:r>
      <w:r>
        <w:rPr>
          <w:rFonts w:hint="eastAsia" w:ascii="仿宋" w:hAnsi="仿宋" w:cs="仿宋"/>
          <w:szCs w:val="32"/>
          <w:highlight w:val="none"/>
        </w:rPr>
        <w:t>参与电力市场交易时，应当向电力交易机构作出履行可再生能源电力消纳责任的承诺。</w:t>
      </w:r>
      <w:bookmarkStart w:id="4" w:name="_Hlk82077260"/>
      <w:r>
        <w:rPr>
          <w:rFonts w:hint="eastAsia" w:ascii="仿宋" w:hAnsi="仿宋" w:cs="仿宋"/>
          <w:szCs w:val="32"/>
          <w:highlight w:val="none"/>
        </w:rPr>
        <w:t>电力交易机构可根据交易、结算等数据，对电力用户的可再生能源消纳责任完成情况、开展消纳责任的经营主体的消纳量账户设立、消纳量核算及转让（或交易）、消纳量监测统计工作。</w:t>
      </w:r>
      <w:bookmarkEnd w:id="4"/>
    </w:p>
    <w:p w14:paraId="56E8D513">
      <w:pPr>
        <w:pStyle w:val="4"/>
        <w:shd w:val="clear"/>
        <w:rPr>
          <w:rFonts w:cs="Times New Roman"/>
          <w:highlight w:val="none"/>
        </w:rPr>
      </w:pPr>
      <w:r>
        <w:rPr>
          <w:rFonts w:hint="eastAsia" w:cs="Times New Roman"/>
          <w:highlight w:val="none"/>
        </w:rPr>
        <w:t>第二节  年度（多年）交易</w:t>
      </w:r>
    </w:p>
    <w:p w14:paraId="2844BA38">
      <w:pPr>
        <w:numPr>
          <w:ilvl w:val="0"/>
          <w:numId w:val="4"/>
        </w:numPr>
        <w:shd w:val="clear"/>
        <w:ind w:firstLine="640"/>
        <w:rPr>
          <w:rFonts w:ascii="仿宋" w:hAnsi="仿宋" w:cs="仿宋"/>
          <w:szCs w:val="32"/>
          <w:highlight w:val="none"/>
        </w:rPr>
      </w:pPr>
      <w:r>
        <w:rPr>
          <w:rFonts w:hint="eastAsia" w:ascii="仿宋" w:hAnsi="仿宋" w:cs="仿宋"/>
          <w:szCs w:val="32"/>
          <w:highlight w:val="none"/>
        </w:rPr>
        <w:t>年度（多年）交易的标的物为次年（多年）的分月</w:t>
      </w:r>
      <w:r>
        <w:rPr>
          <w:rFonts w:hint="eastAsia" w:ascii="仿宋" w:hAnsi="仿宋" w:cs="仿宋"/>
          <w:szCs w:val="32"/>
          <w:highlight w:val="none"/>
          <w:lang w:val="en-US" w:eastAsia="zh-CN"/>
        </w:rPr>
        <w:t>的</w:t>
      </w:r>
      <w:r>
        <w:rPr>
          <w:rFonts w:hint="eastAsia" w:ascii="仿宋" w:hAnsi="仿宋" w:cs="仿宋"/>
          <w:szCs w:val="32"/>
          <w:highlight w:val="none"/>
        </w:rPr>
        <w:t>日分时电量。年度（多年）交易可通过双边协商或者集中交易的方式开展。</w:t>
      </w:r>
    </w:p>
    <w:p w14:paraId="7EF52375">
      <w:pPr>
        <w:numPr>
          <w:ilvl w:val="0"/>
          <w:numId w:val="4"/>
        </w:numPr>
        <w:shd w:val="clear"/>
        <w:ind w:firstLine="640"/>
        <w:rPr>
          <w:rFonts w:ascii="仿宋" w:hAnsi="仿宋" w:cs="仿宋"/>
          <w:szCs w:val="32"/>
          <w:highlight w:val="none"/>
        </w:rPr>
      </w:pPr>
      <w:r>
        <w:rPr>
          <w:rFonts w:hint="eastAsia" w:ascii="仿宋" w:hAnsi="仿宋" w:cs="仿宋"/>
          <w:szCs w:val="32"/>
          <w:highlight w:val="none"/>
          <w:lang w:eastAsia="zh-CN"/>
        </w:rPr>
        <w:t>经营主体</w:t>
      </w:r>
      <w:r>
        <w:rPr>
          <w:rFonts w:hint="eastAsia" w:ascii="仿宋" w:hAnsi="仿宋" w:cs="仿宋"/>
          <w:szCs w:val="32"/>
          <w:highlight w:val="none"/>
        </w:rPr>
        <w:t>经过双边协商形成的年度（多年）意向协议，需要在年度双边交易申报截止前，通过电力交易平台提交至电力交易机构。年度双边协商交易中，发电企业只可作为市场合约卖方参加交易，</w:t>
      </w:r>
      <w:r>
        <w:rPr>
          <w:rFonts w:hint="eastAsia" w:ascii="仿宋" w:hAnsi="仿宋" w:cs="仿宋"/>
          <w:szCs w:val="32"/>
          <w:highlight w:val="none"/>
          <w:lang w:val="en-US" w:eastAsia="zh-CN"/>
        </w:rPr>
        <w:t>批发交易</w:t>
      </w:r>
      <w:r>
        <w:rPr>
          <w:rFonts w:hint="eastAsia" w:ascii="仿宋" w:hAnsi="仿宋" w:cs="仿宋"/>
          <w:szCs w:val="32"/>
          <w:highlight w:val="none"/>
        </w:rPr>
        <w:t>用户</w:t>
      </w:r>
      <w:r>
        <w:rPr>
          <w:rFonts w:hint="eastAsia" w:ascii="仿宋" w:hAnsi="仿宋" w:cs="仿宋"/>
          <w:szCs w:val="32"/>
          <w:highlight w:val="none"/>
          <w:lang w:eastAsia="zh-CN"/>
        </w:rPr>
        <w:t>（</w:t>
      </w:r>
      <w:r>
        <w:rPr>
          <w:rFonts w:hint="eastAsia" w:ascii="仿宋" w:hAnsi="仿宋" w:cs="仿宋"/>
          <w:szCs w:val="32"/>
          <w:highlight w:val="none"/>
          <w:lang w:val="en-US" w:eastAsia="zh-CN"/>
        </w:rPr>
        <w:t>含电网代理购电</w:t>
      </w:r>
      <w:r>
        <w:rPr>
          <w:rFonts w:hint="eastAsia" w:ascii="仿宋" w:hAnsi="仿宋" w:cs="仿宋"/>
          <w:szCs w:val="32"/>
          <w:highlight w:val="none"/>
          <w:lang w:eastAsia="zh-CN"/>
        </w:rPr>
        <w:t>）</w:t>
      </w:r>
      <w:r>
        <w:rPr>
          <w:rFonts w:hint="eastAsia" w:ascii="仿宋" w:hAnsi="仿宋" w:cs="仿宋"/>
          <w:szCs w:val="32"/>
          <w:highlight w:val="none"/>
        </w:rPr>
        <w:t>只可作为市场合约买方参加交易。申报数据通过合理性校验后，电力交易机构根据电力调度机构提供的关键通道年度可用输电容量，形成双边交易预成交结果。</w:t>
      </w:r>
    </w:p>
    <w:p w14:paraId="2C5B8E7A">
      <w:pPr>
        <w:numPr>
          <w:ilvl w:val="0"/>
          <w:numId w:val="4"/>
        </w:numPr>
        <w:shd w:val="clear"/>
        <w:ind w:firstLine="640"/>
        <w:rPr>
          <w:highlight w:val="none"/>
        </w:rPr>
      </w:pPr>
      <w:r>
        <w:rPr>
          <w:rFonts w:hint="eastAsia" w:ascii="仿宋" w:hAnsi="仿宋" w:cs="仿宋"/>
          <w:szCs w:val="32"/>
          <w:highlight w:val="none"/>
        </w:rPr>
        <w:t>采用集中交易方式开展年度（多年）交易时，</w:t>
      </w:r>
      <w:r>
        <w:rPr>
          <w:rFonts w:hint="eastAsia" w:ascii="仿宋" w:hAnsi="仿宋" w:cs="仿宋"/>
          <w:szCs w:val="32"/>
          <w:highlight w:val="none"/>
          <w:lang w:eastAsia="zh-CN"/>
        </w:rPr>
        <w:t>经营主体</w:t>
      </w:r>
      <w:r>
        <w:rPr>
          <w:rFonts w:hint="eastAsia" w:ascii="仿宋" w:hAnsi="仿宋" w:cs="仿宋"/>
          <w:szCs w:val="32"/>
          <w:highlight w:val="none"/>
        </w:rPr>
        <w:t>在规定的报价时限内通过电力交易平台申报报价数据。年度</w:t>
      </w:r>
      <w:r>
        <w:rPr>
          <w:rFonts w:hint="eastAsia" w:ascii="仿宋" w:hAnsi="仿宋" w:cs="仿宋"/>
          <w:szCs w:val="32"/>
          <w:highlight w:val="none"/>
          <w:lang w:val="en-US" w:eastAsia="zh-CN"/>
        </w:rPr>
        <w:t>集中</w:t>
      </w:r>
      <w:r>
        <w:rPr>
          <w:rFonts w:hint="eastAsia" w:ascii="仿宋" w:hAnsi="仿宋" w:cs="仿宋"/>
          <w:szCs w:val="32"/>
          <w:highlight w:val="none"/>
        </w:rPr>
        <w:t>交易中，发电企业只可作为市场合约卖方参加交易，批发交易用户（含电网代理购电）只可作为市场合约买方参加交易。申报数据通过合理性校验后，电力交易机构根据电力调度机构提供的关键通道年度可用输电容量进行市场出清，形成集中交易预成交结果。</w:t>
      </w:r>
    </w:p>
    <w:p w14:paraId="132E7D1C">
      <w:pPr>
        <w:numPr>
          <w:ilvl w:val="0"/>
          <w:numId w:val="4"/>
        </w:numPr>
        <w:shd w:val="clear"/>
        <w:ind w:firstLine="640"/>
        <w:rPr>
          <w:highlight w:val="none"/>
        </w:rPr>
      </w:pPr>
      <w:r>
        <w:rPr>
          <w:rFonts w:hint="eastAsia" w:ascii="仿宋" w:hAnsi="仿宋" w:cs="仿宋"/>
          <w:szCs w:val="32"/>
          <w:highlight w:val="none"/>
          <w:lang w:val="en-US" w:eastAsia="zh-CN"/>
        </w:rPr>
        <w:t>在非现货运行期间，</w:t>
      </w:r>
      <w:r>
        <w:rPr>
          <w:rFonts w:hint="eastAsia" w:ascii="仿宋" w:hAnsi="仿宋" w:cs="仿宋"/>
          <w:szCs w:val="32"/>
          <w:highlight w:val="none"/>
        </w:rPr>
        <w:t>年度交易结束后，电力交易机构汇总每类交易的预成交结果，提交电力调度机构统一进行安全校核。电力调度机构在</w:t>
      </w:r>
      <w:r>
        <w:rPr>
          <w:rFonts w:ascii="仿宋" w:hAnsi="仿宋" w:cs="仿宋"/>
          <w:szCs w:val="32"/>
          <w:highlight w:val="none"/>
        </w:rPr>
        <w:t>5个工作日内返回安全校核结果，由电力交易机构发布。安全校核越限时，由电力交易机构根据市场规则协同进行交易削减和调整。</w:t>
      </w:r>
    </w:p>
    <w:p w14:paraId="47722928">
      <w:pPr>
        <w:numPr>
          <w:ilvl w:val="0"/>
          <w:numId w:val="4"/>
        </w:numPr>
        <w:shd w:val="clear"/>
        <w:ind w:firstLine="640"/>
        <w:rPr>
          <w:rFonts w:ascii="仿宋" w:hAnsi="仿宋" w:cs="仿宋"/>
          <w:szCs w:val="32"/>
          <w:highlight w:val="none"/>
        </w:rPr>
      </w:pPr>
      <w:r>
        <w:rPr>
          <w:rFonts w:hint="eastAsia" w:ascii="仿宋" w:hAnsi="仿宋" w:cs="仿宋"/>
          <w:szCs w:val="32"/>
          <w:highlight w:val="none"/>
          <w:lang w:eastAsia="zh-CN"/>
        </w:rPr>
        <w:t>经营主体</w:t>
      </w:r>
      <w:r>
        <w:rPr>
          <w:rFonts w:hint="eastAsia" w:ascii="仿宋" w:hAnsi="仿宋" w:cs="仿宋"/>
          <w:szCs w:val="32"/>
          <w:highlight w:val="none"/>
        </w:rPr>
        <w:t>对交易结果有异议的，应当在结果发布1个工作日内向电力交易机构提出，由电力交易机构会同电力调度机构在1个工作日内给予解释。逾期未提出异议的，电力交易平台自动确认成交。</w:t>
      </w:r>
    </w:p>
    <w:p w14:paraId="00A10C9A">
      <w:pPr>
        <w:pStyle w:val="4"/>
        <w:shd w:val="clear"/>
        <w:rPr>
          <w:rFonts w:cs="Times New Roman"/>
          <w:highlight w:val="none"/>
        </w:rPr>
      </w:pPr>
      <w:r>
        <w:rPr>
          <w:rFonts w:hint="eastAsia" w:cs="Times New Roman"/>
          <w:highlight w:val="none"/>
        </w:rPr>
        <w:t>第三节  月度</w:t>
      </w:r>
      <w:r>
        <w:rPr>
          <w:rFonts w:hint="eastAsia" w:cs="Times New Roman"/>
          <w:highlight w:val="none"/>
          <w:lang w:eastAsia="zh-CN"/>
        </w:rPr>
        <w:t>（</w:t>
      </w:r>
      <w:r>
        <w:rPr>
          <w:rFonts w:hint="eastAsia" w:cs="Times New Roman"/>
          <w:highlight w:val="none"/>
          <w:lang w:val="en-US" w:eastAsia="zh-CN"/>
        </w:rPr>
        <w:t>多月</w:t>
      </w:r>
      <w:r>
        <w:rPr>
          <w:rFonts w:hint="eastAsia" w:cs="Times New Roman"/>
          <w:highlight w:val="none"/>
          <w:lang w:eastAsia="zh-CN"/>
        </w:rPr>
        <w:t>）</w:t>
      </w:r>
      <w:r>
        <w:rPr>
          <w:rFonts w:hint="eastAsia" w:cs="Times New Roman"/>
          <w:highlight w:val="none"/>
        </w:rPr>
        <w:t>交易</w:t>
      </w:r>
    </w:p>
    <w:p w14:paraId="5F0CA451">
      <w:pPr>
        <w:numPr>
          <w:ilvl w:val="0"/>
          <w:numId w:val="4"/>
        </w:numPr>
        <w:shd w:val="clear"/>
        <w:ind w:firstLine="640"/>
        <w:rPr>
          <w:rFonts w:ascii="仿宋" w:hAnsi="仿宋" w:cs="仿宋"/>
          <w:szCs w:val="32"/>
          <w:highlight w:val="none"/>
        </w:rPr>
      </w:pPr>
      <w:r>
        <w:rPr>
          <w:rFonts w:hint="eastAsia" w:ascii="仿宋" w:hAnsi="仿宋" w:cs="仿宋"/>
          <w:szCs w:val="32"/>
          <w:highlight w:val="none"/>
        </w:rPr>
        <w:t>月度</w:t>
      </w:r>
      <w:r>
        <w:rPr>
          <w:rFonts w:hint="eastAsia" w:cs="Times New Roman"/>
          <w:highlight w:val="none"/>
          <w:lang w:eastAsia="zh-CN"/>
        </w:rPr>
        <w:t>（</w:t>
      </w:r>
      <w:r>
        <w:rPr>
          <w:rFonts w:hint="eastAsia" w:cs="Times New Roman"/>
          <w:highlight w:val="none"/>
          <w:lang w:val="en-US" w:eastAsia="zh-CN"/>
        </w:rPr>
        <w:t>多月</w:t>
      </w:r>
      <w:r>
        <w:rPr>
          <w:rFonts w:hint="eastAsia" w:cs="Times New Roman"/>
          <w:highlight w:val="none"/>
          <w:lang w:eastAsia="zh-CN"/>
        </w:rPr>
        <w:t>）</w:t>
      </w:r>
      <w:r>
        <w:rPr>
          <w:rFonts w:hint="eastAsia" w:ascii="仿宋" w:hAnsi="仿宋" w:cs="仿宋"/>
          <w:szCs w:val="32"/>
          <w:highlight w:val="none"/>
        </w:rPr>
        <w:t>交易的标的物为次月日分时电量或年度内剩余月份的月度日分时电量。月度交易可通过双边协商或者集中交易的方式开展。</w:t>
      </w:r>
    </w:p>
    <w:p w14:paraId="324CE0DE">
      <w:pPr>
        <w:numPr>
          <w:ilvl w:val="0"/>
          <w:numId w:val="4"/>
        </w:numPr>
        <w:shd w:val="clear"/>
        <w:ind w:firstLine="640"/>
        <w:rPr>
          <w:rFonts w:ascii="仿宋" w:hAnsi="仿宋" w:cs="仿宋"/>
          <w:szCs w:val="32"/>
          <w:highlight w:val="none"/>
        </w:rPr>
      </w:pPr>
      <w:r>
        <w:rPr>
          <w:rFonts w:hint="eastAsia" w:ascii="仿宋" w:hAnsi="仿宋" w:cs="仿宋"/>
          <w:szCs w:val="32"/>
          <w:highlight w:val="none"/>
          <w:lang w:eastAsia="zh-CN"/>
        </w:rPr>
        <w:t>经营主体</w:t>
      </w:r>
      <w:r>
        <w:rPr>
          <w:rFonts w:hint="eastAsia" w:ascii="仿宋" w:hAnsi="仿宋" w:cs="仿宋"/>
          <w:szCs w:val="32"/>
          <w:highlight w:val="none"/>
        </w:rPr>
        <w:t>经过双边协商形成的意向协议，需要在双边协商交易申报截止前，通过电力交易平台提交至电力交易机构。</w:t>
      </w:r>
      <w:r>
        <w:rPr>
          <w:rFonts w:hint="eastAsia" w:ascii="仿宋" w:hAnsi="仿宋" w:cs="仿宋"/>
          <w:szCs w:val="32"/>
          <w:highlight w:val="none"/>
          <w:lang w:val="en-US" w:eastAsia="zh-CN"/>
        </w:rPr>
        <w:t>月</w:t>
      </w:r>
      <w:r>
        <w:rPr>
          <w:rFonts w:hint="eastAsia" w:ascii="仿宋" w:hAnsi="仿宋" w:cs="仿宋"/>
          <w:szCs w:val="32"/>
          <w:highlight w:val="none"/>
        </w:rPr>
        <w:t>度</w:t>
      </w:r>
      <w:r>
        <w:rPr>
          <w:rFonts w:hint="eastAsia" w:cs="Times New Roman"/>
          <w:highlight w:val="none"/>
          <w:lang w:eastAsia="zh-CN"/>
        </w:rPr>
        <w:t>（</w:t>
      </w:r>
      <w:r>
        <w:rPr>
          <w:rFonts w:hint="eastAsia" w:cs="Times New Roman"/>
          <w:highlight w:val="none"/>
          <w:lang w:val="en-US" w:eastAsia="zh-CN"/>
        </w:rPr>
        <w:t>多月</w:t>
      </w:r>
      <w:r>
        <w:rPr>
          <w:rFonts w:hint="eastAsia" w:cs="Times New Roman"/>
          <w:highlight w:val="none"/>
          <w:lang w:eastAsia="zh-CN"/>
        </w:rPr>
        <w:t>）</w:t>
      </w:r>
      <w:r>
        <w:rPr>
          <w:rFonts w:hint="eastAsia" w:ascii="仿宋" w:hAnsi="仿宋" w:cs="仿宋"/>
          <w:szCs w:val="32"/>
          <w:highlight w:val="none"/>
        </w:rPr>
        <w:t>双边协商交易中，发电企业只可作为市场合约卖方参加交易，批发交易用户（含电网代理购电）只可作为市场合约买方参加交易。申报数据通过合理性校验后，电力交易机构根据电力调度机构提供的关键通道月度可用输电容量，形成双边交易预成交结果。</w:t>
      </w:r>
    </w:p>
    <w:p w14:paraId="1528E46C">
      <w:pPr>
        <w:shd w:val="clear"/>
        <w:ind w:firstLine="640"/>
        <w:rPr>
          <w:rFonts w:ascii="仿宋" w:hAnsi="仿宋" w:cs="仿宋"/>
          <w:szCs w:val="32"/>
          <w:highlight w:val="none"/>
        </w:rPr>
      </w:pPr>
      <w:r>
        <w:rPr>
          <w:rFonts w:hint="eastAsia" w:ascii="仿宋" w:hAnsi="仿宋" w:cs="仿宋"/>
          <w:szCs w:val="32"/>
          <w:highlight w:val="none"/>
        </w:rPr>
        <w:t>（一）在每月的双边交易关闸日，关闭次月的双边交易申报，后续其他月度的双边交易可继续申报、修改。</w:t>
      </w:r>
    </w:p>
    <w:p w14:paraId="3CC000AA">
      <w:pPr>
        <w:shd w:val="clear"/>
        <w:ind w:firstLine="640"/>
        <w:rPr>
          <w:rFonts w:ascii="仿宋" w:hAnsi="仿宋" w:cs="仿宋"/>
          <w:szCs w:val="32"/>
          <w:highlight w:val="none"/>
        </w:rPr>
      </w:pPr>
      <w:r>
        <w:rPr>
          <w:rFonts w:hint="eastAsia" w:ascii="仿宋" w:hAnsi="仿宋" w:cs="仿宋"/>
          <w:szCs w:val="32"/>
          <w:highlight w:val="none"/>
        </w:rPr>
        <w:t>（二）交易双方可在规定时间内对双边交易合同价格进行调整，由一方填报经双方协商一致后的合同价格，另一方</w:t>
      </w:r>
      <w:r>
        <w:rPr>
          <w:rFonts w:hint="eastAsia"/>
          <w:spacing w:val="-17"/>
          <w:highlight w:val="none"/>
        </w:rPr>
        <w:t>确认后生效。若未填报或未经确认，则继续执行原交易合同价格。</w:t>
      </w:r>
    </w:p>
    <w:p w14:paraId="396C4F88">
      <w:pPr>
        <w:numPr>
          <w:ilvl w:val="0"/>
          <w:numId w:val="4"/>
        </w:numPr>
        <w:shd w:val="clear"/>
        <w:ind w:firstLine="640"/>
        <w:rPr>
          <w:rFonts w:ascii="仿宋" w:hAnsi="仿宋" w:cs="仿宋"/>
          <w:szCs w:val="32"/>
          <w:highlight w:val="none"/>
        </w:rPr>
      </w:pPr>
      <w:r>
        <w:rPr>
          <w:rFonts w:hint="eastAsia" w:ascii="仿宋" w:hAnsi="仿宋" w:cs="仿宋"/>
          <w:szCs w:val="32"/>
          <w:highlight w:val="none"/>
        </w:rPr>
        <w:t>采用集中交易方式开展月度交易时，发电企业、售电公司和电力用户在规定的报价时限内通过电力交易平台申报报价数据。</w:t>
      </w:r>
      <w:r>
        <w:rPr>
          <w:rFonts w:hint="eastAsia" w:ascii="仿宋" w:hAnsi="仿宋" w:cs="仿宋"/>
          <w:szCs w:val="32"/>
          <w:highlight w:val="none"/>
          <w:lang w:val="en-US" w:eastAsia="zh-CN"/>
        </w:rPr>
        <w:t>月</w:t>
      </w:r>
      <w:r>
        <w:rPr>
          <w:rFonts w:hint="eastAsia" w:ascii="仿宋" w:hAnsi="仿宋" w:cs="仿宋"/>
          <w:szCs w:val="32"/>
          <w:highlight w:val="none"/>
        </w:rPr>
        <w:t>度</w:t>
      </w:r>
      <w:r>
        <w:rPr>
          <w:rFonts w:hint="eastAsia" w:cs="Times New Roman"/>
          <w:highlight w:val="none"/>
          <w:lang w:eastAsia="zh-CN"/>
        </w:rPr>
        <w:t>（</w:t>
      </w:r>
      <w:r>
        <w:rPr>
          <w:rFonts w:hint="eastAsia" w:cs="Times New Roman"/>
          <w:highlight w:val="none"/>
          <w:lang w:val="en-US" w:eastAsia="zh-CN"/>
        </w:rPr>
        <w:t>多月</w:t>
      </w:r>
      <w:r>
        <w:rPr>
          <w:rFonts w:hint="eastAsia" w:cs="Times New Roman"/>
          <w:highlight w:val="none"/>
          <w:lang w:eastAsia="zh-CN"/>
        </w:rPr>
        <w:t>）</w:t>
      </w:r>
      <w:r>
        <w:rPr>
          <w:rFonts w:hint="eastAsia" w:ascii="仿宋" w:hAnsi="仿宋" w:cs="仿宋"/>
          <w:szCs w:val="32"/>
          <w:highlight w:val="none"/>
          <w:lang w:val="en-US" w:eastAsia="zh-CN"/>
        </w:rPr>
        <w:t>集中</w:t>
      </w:r>
      <w:r>
        <w:rPr>
          <w:rFonts w:hint="eastAsia" w:ascii="仿宋" w:hAnsi="仿宋" w:cs="仿宋"/>
          <w:szCs w:val="32"/>
          <w:highlight w:val="none"/>
        </w:rPr>
        <w:t>交易中，发电企业只可作为市场合约卖方参加交易，批发交易用户（含电网代理购电）只可作为市场合约买方参加交易。申报数据通过合理性校验后，电力交易机构根据电力调度机构提供的关键通道月度可用输电容量进行市场出清，形成集中交易预成交结果。</w:t>
      </w:r>
    </w:p>
    <w:p w14:paraId="033FD3E1">
      <w:pPr>
        <w:numPr>
          <w:ilvl w:val="0"/>
          <w:numId w:val="4"/>
        </w:numPr>
        <w:shd w:val="clear"/>
        <w:ind w:firstLine="640"/>
        <w:rPr>
          <w:rFonts w:ascii="仿宋" w:hAnsi="仿宋" w:cs="仿宋"/>
          <w:szCs w:val="32"/>
          <w:highlight w:val="none"/>
        </w:rPr>
      </w:pPr>
      <w:bookmarkStart w:id="5" w:name="_Hlk65408503"/>
      <w:r>
        <w:rPr>
          <w:rFonts w:hint="eastAsia" w:ascii="仿宋" w:hAnsi="仿宋" w:cs="仿宋"/>
          <w:szCs w:val="32"/>
          <w:highlight w:val="none"/>
          <w:lang w:val="en-US" w:eastAsia="zh-CN"/>
        </w:rPr>
        <w:t>在非现货运行期间，</w:t>
      </w:r>
      <w:r>
        <w:rPr>
          <w:rFonts w:hint="eastAsia" w:ascii="仿宋" w:hAnsi="仿宋" w:cs="仿宋"/>
          <w:szCs w:val="32"/>
          <w:highlight w:val="none"/>
        </w:rPr>
        <w:t>月度交易结束后，电力交易机构汇总每类交易的预成交结果，并提交给电力调度机构统一进行安全校核。电力调度机构在2个工作日内返回安全校核结果，由电力交易机构发布。安全校核越限时，由电力交易机构根据市场规则组织进行交易削减和调整。</w:t>
      </w:r>
    </w:p>
    <w:bookmarkEnd w:id="5"/>
    <w:p w14:paraId="4EDCA1FC">
      <w:pPr>
        <w:numPr>
          <w:ilvl w:val="0"/>
          <w:numId w:val="4"/>
        </w:numPr>
        <w:shd w:val="clear"/>
        <w:ind w:firstLine="640"/>
        <w:rPr>
          <w:rFonts w:ascii="仿宋" w:hAnsi="仿宋" w:cs="仿宋"/>
          <w:szCs w:val="32"/>
          <w:highlight w:val="none"/>
        </w:rPr>
      </w:pPr>
      <w:r>
        <w:rPr>
          <w:rFonts w:hint="eastAsia" w:ascii="仿宋" w:hAnsi="仿宋" w:cs="仿宋"/>
          <w:szCs w:val="32"/>
          <w:highlight w:val="none"/>
          <w:lang w:eastAsia="zh-CN"/>
        </w:rPr>
        <w:t>经营主体</w:t>
      </w:r>
      <w:r>
        <w:rPr>
          <w:rFonts w:hint="eastAsia" w:ascii="仿宋" w:hAnsi="仿宋" w:cs="仿宋"/>
          <w:szCs w:val="32"/>
          <w:highlight w:val="none"/>
        </w:rPr>
        <w:t>对交易结果有异议的，应当在结果发布1个工作日内向电力交易机构提出，由电力交易机构会同电力调度机构在1个工作日内给予解释。逾期未提出异议的，电力交易平台自动确认成交。</w:t>
      </w:r>
    </w:p>
    <w:p w14:paraId="7EB6D734">
      <w:pPr>
        <w:numPr>
          <w:ilvl w:val="0"/>
          <w:numId w:val="4"/>
        </w:numPr>
        <w:shd w:val="clear"/>
        <w:ind w:firstLine="640"/>
        <w:rPr>
          <w:rFonts w:ascii="仿宋" w:hAnsi="仿宋" w:cs="仿宋"/>
          <w:szCs w:val="32"/>
          <w:highlight w:val="none"/>
        </w:rPr>
      </w:pPr>
      <w:r>
        <w:rPr>
          <w:rFonts w:hint="eastAsia" w:ascii="仿宋" w:hAnsi="仿宋" w:cs="仿宋"/>
          <w:szCs w:val="32"/>
          <w:highlight w:val="none"/>
        </w:rPr>
        <w:t>电力交易机构应当根据经安全校核</w:t>
      </w:r>
      <w:r>
        <w:rPr>
          <w:rFonts w:hint="eastAsia" w:ascii="仿宋" w:hAnsi="仿宋" w:cs="仿宋"/>
          <w:szCs w:val="32"/>
          <w:highlight w:val="none"/>
          <w:lang w:eastAsia="zh-CN"/>
        </w:rPr>
        <w:t>（</w:t>
      </w:r>
      <w:r>
        <w:rPr>
          <w:rFonts w:hint="eastAsia" w:ascii="仿宋" w:hAnsi="仿宋" w:cs="仿宋"/>
          <w:szCs w:val="32"/>
          <w:highlight w:val="none"/>
          <w:lang w:val="en-US" w:eastAsia="zh-CN"/>
        </w:rPr>
        <w:t>现货运行期间不开展</w:t>
      </w:r>
      <w:r>
        <w:rPr>
          <w:rFonts w:hint="eastAsia" w:ascii="仿宋" w:hAnsi="仿宋" w:cs="仿宋"/>
          <w:szCs w:val="32"/>
          <w:highlight w:val="none"/>
          <w:lang w:eastAsia="zh-CN"/>
        </w:rPr>
        <w:t>）</w:t>
      </w:r>
      <w:r>
        <w:rPr>
          <w:rFonts w:hint="eastAsia" w:ascii="仿宋" w:hAnsi="仿宋" w:cs="仿宋"/>
          <w:szCs w:val="32"/>
          <w:highlight w:val="none"/>
        </w:rPr>
        <w:t>后的交易结果，对年度交易分月结果和月度交易结果进行汇总，</w:t>
      </w:r>
      <w:r>
        <w:rPr>
          <w:rFonts w:hint="eastAsia" w:ascii="仿宋" w:hAnsi="仿宋" w:cs="仿宋"/>
          <w:szCs w:val="32"/>
          <w:highlight w:val="none"/>
          <w:lang w:val="en-US" w:eastAsia="zh-CN"/>
        </w:rPr>
        <w:t>原则上</w:t>
      </w:r>
      <w:r>
        <w:rPr>
          <w:rFonts w:hint="eastAsia" w:ascii="仿宋" w:hAnsi="仿宋" w:cs="仿宋"/>
          <w:szCs w:val="32"/>
          <w:highlight w:val="none"/>
        </w:rPr>
        <w:t>于每月月底</w:t>
      </w:r>
      <w:r>
        <w:rPr>
          <w:rFonts w:hint="eastAsia" w:ascii="仿宋" w:hAnsi="仿宋" w:cs="仿宋"/>
          <w:szCs w:val="32"/>
          <w:highlight w:val="none"/>
          <w:lang w:val="en-US" w:eastAsia="zh-CN"/>
        </w:rPr>
        <w:t>最后1个工作日</w:t>
      </w:r>
      <w:r>
        <w:rPr>
          <w:rFonts w:hint="eastAsia" w:ascii="仿宋" w:hAnsi="仿宋" w:cs="仿宋"/>
          <w:szCs w:val="32"/>
          <w:highlight w:val="none"/>
        </w:rPr>
        <w:t>前发布汇总后的</w:t>
      </w:r>
      <w:r>
        <w:rPr>
          <w:rFonts w:hint="eastAsia" w:ascii="仿宋" w:hAnsi="仿宋" w:cs="仿宋"/>
          <w:szCs w:val="32"/>
          <w:highlight w:val="none"/>
          <w:lang w:val="en-US" w:eastAsia="zh-CN"/>
        </w:rPr>
        <w:t>月度</w:t>
      </w:r>
      <w:r>
        <w:rPr>
          <w:rFonts w:hint="eastAsia" w:ascii="仿宋" w:hAnsi="仿宋" w:cs="仿宋"/>
          <w:szCs w:val="32"/>
          <w:highlight w:val="none"/>
        </w:rPr>
        <w:t>交易结果。</w:t>
      </w:r>
    </w:p>
    <w:p w14:paraId="2FD32CDF">
      <w:pPr>
        <w:pStyle w:val="4"/>
        <w:shd w:val="clear"/>
        <w:rPr>
          <w:rFonts w:cs="Times New Roman"/>
          <w:highlight w:val="none"/>
        </w:rPr>
      </w:pPr>
      <w:r>
        <w:rPr>
          <w:rFonts w:hint="eastAsia" w:cs="Times New Roman"/>
          <w:highlight w:val="none"/>
        </w:rPr>
        <w:t>第四节  月内（多日）交易</w:t>
      </w:r>
    </w:p>
    <w:p w14:paraId="510B2B81">
      <w:pPr>
        <w:numPr>
          <w:ilvl w:val="0"/>
          <w:numId w:val="4"/>
        </w:numPr>
        <w:shd w:val="clear"/>
        <w:ind w:firstLine="640"/>
        <w:rPr>
          <w:rFonts w:ascii="方正仿宋_GBK" w:hAnsi="方正仿宋_GBK" w:eastAsia="方正仿宋_GBK" w:cs="方正仿宋_GBK"/>
          <w:sz w:val="30"/>
          <w:szCs w:val="30"/>
          <w:highlight w:val="none"/>
        </w:rPr>
      </w:pPr>
      <w:r>
        <w:rPr>
          <w:rFonts w:hint="eastAsia" w:ascii="仿宋" w:hAnsi="仿宋" w:cs="仿宋"/>
          <w:szCs w:val="32"/>
          <w:highlight w:val="none"/>
        </w:rPr>
        <w:t>月内（多日）交易的标的物为月内剩余天数或者特定天数的</w:t>
      </w:r>
      <w:r>
        <w:rPr>
          <w:rFonts w:hint="eastAsia" w:ascii="仿宋" w:hAnsi="仿宋" w:cs="仿宋"/>
          <w:szCs w:val="32"/>
          <w:highlight w:val="none"/>
          <w:lang w:val="en-US" w:eastAsia="zh-CN"/>
        </w:rPr>
        <w:t>日</w:t>
      </w:r>
      <w:r>
        <w:rPr>
          <w:rFonts w:hint="eastAsia" w:ascii="仿宋" w:hAnsi="仿宋" w:cs="仿宋"/>
          <w:szCs w:val="32"/>
          <w:highlight w:val="none"/>
        </w:rPr>
        <w:t>分时电量</w:t>
      </w:r>
      <w:r>
        <w:rPr>
          <w:rFonts w:hint="eastAsia" w:ascii="仿宋" w:hAnsi="仿宋" w:cs="仿宋"/>
          <w:szCs w:val="32"/>
          <w:highlight w:val="none"/>
          <w:lang w:eastAsia="zh-CN"/>
        </w:rPr>
        <w:t>，</w:t>
      </w:r>
      <w:r>
        <w:rPr>
          <w:rFonts w:hint="eastAsia" w:ascii="仿宋" w:hAnsi="仿宋" w:cs="仿宋"/>
          <w:szCs w:val="32"/>
          <w:highlight w:val="none"/>
          <w:lang w:val="en-US" w:eastAsia="zh-CN"/>
        </w:rPr>
        <w:t>包括</w:t>
      </w:r>
      <w:r>
        <w:rPr>
          <w:rFonts w:hint="eastAsia" w:ascii="仿宋" w:hAnsi="仿宋" w:cs="仿宋"/>
          <w:szCs w:val="32"/>
          <w:highlight w:val="none"/>
        </w:rPr>
        <w:t>周（多周）、日（多日）</w:t>
      </w:r>
      <w:r>
        <w:rPr>
          <w:rFonts w:hint="eastAsia" w:ascii="仿宋" w:hAnsi="仿宋" w:cs="仿宋"/>
          <w:szCs w:val="32"/>
          <w:highlight w:val="none"/>
          <w:lang w:val="en-US" w:eastAsia="zh-CN"/>
        </w:rPr>
        <w:t>交易</w:t>
      </w:r>
      <w:r>
        <w:rPr>
          <w:rFonts w:hint="eastAsia" w:ascii="仿宋" w:hAnsi="仿宋" w:cs="仿宋"/>
          <w:szCs w:val="32"/>
          <w:highlight w:val="none"/>
        </w:rPr>
        <w:t>。月内交易可通过双边协商或者集中交易方式开展。</w:t>
      </w:r>
    </w:p>
    <w:p w14:paraId="12E4A3E1">
      <w:pPr>
        <w:numPr>
          <w:ilvl w:val="0"/>
          <w:numId w:val="4"/>
        </w:numPr>
        <w:shd w:val="clear"/>
        <w:ind w:firstLine="640"/>
        <w:rPr>
          <w:rFonts w:ascii="仿宋" w:hAnsi="仿宋" w:cs="仿宋"/>
          <w:szCs w:val="32"/>
          <w:highlight w:val="none"/>
        </w:rPr>
      </w:pPr>
      <w:r>
        <w:rPr>
          <w:rFonts w:hint="eastAsia" w:ascii="仿宋" w:hAnsi="仿宋" w:cs="仿宋"/>
          <w:szCs w:val="32"/>
          <w:highlight w:val="none"/>
        </w:rPr>
        <w:t>周双边协商交易的标的为次周的</w:t>
      </w:r>
      <w:r>
        <w:rPr>
          <w:rFonts w:hint="eastAsia" w:ascii="仿宋" w:hAnsi="仿宋" w:cs="仿宋"/>
          <w:szCs w:val="32"/>
          <w:highlight w:val="none"/>
          <w:lang w:val="en-US" w:eastAsia="zh-CN"/>
        </w:rPr>
        <w:t>日分时</w:t>
      </w:r>
      <w:r>
        <w:rPr>
          <w:rFonts w:hint="eastAsia" w:ascii="仿宋" w:hAnsi="仿宋" w:cs="仿宋"/>
          <w:szCs w:val="32"/>
          <w:highlight w:val="none"/>
        </w:rPr>
        <w:t>电量，以7天（若当月剩余天数不足7天的则次周至月底）为最小合同周期，可同时组织月内多周交易；日（多日）双边交易的标的为同一月内</w:t>
      </w:r>
      <w:r>
        <w:rPr>
          <w:rFonts w:hint="eastAsia" w:ascii="仿宋" w:hAnsi="仿宋" w:cs="仿宋"/>
          <w:szCs w:val="32"/>
          <w:highlight w:val="none"/>
          <w:lang w:eastAsia="zh-CN"/>
        </w:rPr>
        <w:t>经营主体</w:t>
      </w:r>
      <w:r>
        <w:rPr>
          <w:rFonts w:hint="eastAsia" w:ascii="仿宋" w:hAnsi="仿宋" w:cs="仿宋"/>
          <w:szCs w:val="32"/>
          <w:highlight w:val="none"/>
        </w:rPr>
        <w:t>选择的首、末日之间的执行周期的</w:t>
      </w:r>
      <w:r>
        <w:rPr>
          <w:rFonts w:hint="eastAsia" w:ascii="仿宋" w:hAnsi="仿宋" w:cs="仿宋"/>
          <w:szCs w:val="32"/>
          <w:highlight w:val="none"/>
          <w:lang w:val="en-US" w:eastAsia="zh-CN"/>
        </w:rPr>
        <w:t>日分时</w:t>
      </w:r>
      <w:r>
        <w:rPr>
          <w:rFonts w:hint="eastAsia" w:ascii="仿宋" w:hAnsi="仿宋" w:cs="仿宋"/>
          <w:szCs w:val="32"/>
          <w:highlight w:val="none"/>
        </w:rPr>
        <w:t>电量</w:t>
      </w:r>
      <w:r>
        <w:rPr>
          <w:rFonts w:hint="eastAsia" w:ascii="仿宋" w:hAnsi="仿宋" w:cs="仿宋"/>
          <w:szCs w:val="32"/>
          <w:highlight w:val="none"/>
          <w:lang w:eastAsia="zh-CN"/>
        </w:rPr>
        <w:t>。</w:t>
      </w:r>
      <w:r>
        <w:rPr>
          <w:rFonts w:hint="eastAsia" w:ascii="Times New Roman" w:hAnsi="Times New Roman" w:eastAsia="仿宋" w:cs="华文仿宋"/>
          <w:color w:val="000000" w:themeColor="text1"/>
          <w:sz w:val="32"/>
          <w:szCs w:val="32"/>
          <w:highlight w:val="none"/>
          <w14:textFill>
            <w14:solidFill>
              <w14:schemeClr w14:val="tx1"/>
            </w14:solidFill>
          </w14:textFill>
        </w:rPr>
        <w:t>周</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日</w:t>
      </w:r>
      <w:r>
        <w:rPr>
          <w:rFonts w:hint="eastAsia" w:ascii="Times New Roman" w:hAnsi="Times New Roman" w:eastAsia="仿宋" w:cs="华文仿宋"/>
          <w:color w:val="000000" w:themeColor="text1"/>
          <w:sz w:val="32"/>
          <w:szCs w:val="32"/>
          <w:highlight w:val="none"/>
          <w14:textFill>
            <w14:solidFill>
              <w14:schemeClr w14:val="tx1"/>
            </w14:solidFill>
          </w14:textFill>
        </w:rPr>
        <w:t>双边协商交易中，可允许</w:t>
      </w: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同时作为合约的买方、卖方参与交易</w:t>
      </w:r>
      <w:r>
        <w:rPr>
          <w:rFonts w:hint="eastAsia" w:cs="华文仿宋"/>
          <w:color w:val="000000" w:themeColor="text1"/>
          <w:sz w:val="32"/>
          <w:szCs w:val="32"/>
          <w:highlight w:val="none"/>
          <w:lang w:eastAsia="zh-CN"/>
          <w14:textFill>
            <w14:solidFill>
              <w14:schemeClr w14:val="tx1"/>
            </w14:solidFill>
          </w14:textFill>
        </w:rPr>
        <w:t>。</w:t>
      </w:r>
      <w:r>
        <w:rPr>
          <w:rFonts w:hint="eastAsia" w:cs="华文仿宋"/>
          <w:color w:val="000000" w:themeColor="text1"/>
          <w:sz w:val="32"/>
          <w:szCs w:val="32"/>
          <w:highlight w:val="none"/>
          <w:lang w:val="en-US" w:eastAsia="zh-CN"/>
          <w14:textFill>
            <w14:solidFill>
              <w14:schemeClr w14:val="tx1"/>
            </w14:solidFill>
          </w14:textFill>
        </w:rPr>
        <w:t>当交易双方均为发电侧或均为用电侧时，则判定</w:t>
      </w:r>
      <w:r>
        <w:rPr>
          <w:rFonts w:hint="eastAsia" w:cs="华文仿宋"/>
          <w:color w:val="000000" w:themeColor="text1"/>
          <w:szCs w:val="32"/>
          <w:highlight w:val="none"/>
          <w14:textFill>
            <w14:solidFill>
              <w14:schemeClr w14:val="tx1"/>
            </w14:solidFill>
          </w14:textFill>
        </w:rPr>
        <w:t>当</w:t>
      </w:r>
      <w:r>
        <w:rPr>
          <w:rFonts w:hint="eastAsia" w:cs="华文仿宋"/>
          <w:color w:val="000000" w:themeColor="text1"/>
          <w:szCs w:val="32"/>
          <w:highlight w:val="none"/>
          <w:lang w:val="en-US" w:eastAsia="zh-CN"/>
          <w14:textFill>
            <w14:solidFill>
              <w14:schemeClr w14:val="tx1"/>
            </w14:solidFill>
          </w14:textFill>
        </w:rPr>
        <w:t>前</w:t>
      </w:r>
      <w:r>
        <w:rPr>
          <w:rFonts w:hint="eastAsia" w:cs="华文仿宋"/>
          <w:color w:val="000000" w:themeColor="text1"/>
          <w:szCs w:val="32"/>
          <w:highlight w:val="none"/>
          <w14:textFill>
            <w14:solidFill>
              <w14:schemeClr w14:val="tx1"/>
            </w14:solidFill>
          </w14:textFill>
        </w:rPr>
        <w:t>交易为合同电量转让交易，</w:t>
      </w:r>
      <w:r>
        <w:rPr>
          <w:rFonts w:hint="eastAsia" w:cs="华文仿宋"/>
          <w:color w:val="000000" w:themeColor="text1"/>
          <w:szCs w:val="32"/>
          <w:highlight w:val="none"/>
          <w:lang w:val="en-US" w:eastAsia="zh-CN"/>
          <w14:textFill>
            <w14:solidFill>
              <w14:schemeClr w14:val="tx1"/>
            </w14:solidFill>
          </w14:textFill>
        </w:rPr>
        <w:t>此时</w:t>
      </w:r>
      <w:r>
        <w:rPr>
          <w:rFonts w:hint="eastAsia" w:cs="华文仿宋"/>
          <w:color w:val="000000" w:themeColor="text1"/>
          <w:szCs w:val="32"/>
          <w:highlight w:val="none"/>
          <w14:textFill>
            <w14:solidFill>
              <w14:schemeClr w14:val="tx1"/>
            </w14:solidFill>
          </w14:textFill>
        </w:rPr>
        <w:t>各时段合约转让价格为出让方各时段已有合同</w:t>
      </w:r>
      <w:r>
        <w:rPr>
          <w:rFonts w:hint="eastAsia" w:cs="华文仿宋"/>
          <w:color w:val="000000" w:themeColor="text1"/>
          <w:szCs w:val="32"/>
          <w:highlight w:val="none"/>
          <w:lang w:val="en-US" w:eastAsia="zh-CN"/>
          <w14:textFill>
            <w14:solidFill>
              <w14:schemeClr w14:val="tx1"/>
            </w14:solidFill>
          </w14:textFill>
        </w:rPr>
        <w:t>的加权</w:t>
      </w:r>
      <w:r>
        <w:rPr>
          <w:rFonts w:hint="eastAsia" w:cs="华文仿宋"/>
          <w:color w:val="000000" w:themeColor="text1"/>
          <w:szCs w:val="32"/>
          <w:highlight w:val="none"/>
          <w14:textFill>
            <w14:solidFill>
              <w14:schemeClr w14:val="tx1"/>
            </w14:solidFill>
          </w14:textFill>
        </w:rPr>
        <w:t>均价。</w:t>
      </w:r>
      <w:r>
        <w:rPr>
          <w:rFonts w:hint="eastAsia" w:cs="华文仿宋"/>
          <w:color w:val="000000" w:themeColor="text1"/>
          <w:szCs w:val="32"/>
          <w:highlight w:val="none"/>
          <w:lang w:val="en-US" w:eastAsia="zh-CN"/>
          <w14:textFill>
            <w14:solidFill>
              <w14:schemeClr w14:val="tx1"/>
            </w14:solidFill>
          </w14:textFill>
        </w:rPr>
        <w:t>当</w:t>
      </w:r>
      <w:r>
        <w:rPr>
          <w:rFonts w:hint="eastAsia" w:cs="华文仿宋"/>
          <w:color w:val="000000" w:themeColor="text1"/>
          <w:szCs w:val="32"/>
          <w:highlight w:val="none"/>
          <w14:textFill>
            <w14:solidFill>
              <w14:schemeClr w14:val="tx1"/>
            </w14:solidFill>
          </w14:textFill>
        </w:rPr>
        <w:t>发电企业为买方、批发交易用户为卖方时，</w:t>
      </w:r>
      <w:r>
        <w:rPr>
          <w:rFonts w:hint="eastAsia" w:cs="华文仿宋"/>
          <w:color w:val="000000" w:themeColor="text1"/>
          <w:szCs w:val="32"/>
          <w:highlight w:val="none"/>
          <w:lang w:val="en-US" w:eastAsia="zh-CN"/>
          <w14:textFill>
            <w14:solidFill>
              <w14:schemeClr w14:val="tx1"/>
            </w14:solidFill>
          </w14:textFill>
        </w:rPr>
        <w:t>则判定为反向交易，该交易成交后将同时扣减</w:t>
      </w:r>
      <w:r>
        <w:rPr>
          <w:rFonts w:hint="eastAsia" w:cs="华文仿宋"/>
          <w:color w:val="000000" w:themeColor="text1"/>
          <w:szCs w:val="32"/>
          <w:highlight w:val="none"/>
          <w14:textFill>
            <w14:solidFill>
              <w14:schemeClr w14:val="tx1"/>
            </w14:solidFill>
          </w14:textFill>
        </w:rPr>
        <w:t>发电企业</w:t>
      </w:r>
      <w:r>
        <w:rPr>
          <w:rFonts w:hint="eastAsia" w:cs="华文仿宋"/>
          <w:color w:val="000000" w:themeColor="text1"/>
          <w:szCs w:val="32"/>
          <w:highlight w:val="none"/>
          <w:lang w:val="en-US" w:eastAsia="zh-CN"/>
          <w14:textFill>
            <w14:solidFill>
              <w14:schemeClr w14:val="tx1"/>
            </w14:solidFill>
          </w14:textFill>
        </w:rPr>
        <w:t>和批发交易用户约定形成的合约电量数（不超过</w:t>
      </w:r>
      <w:r>
        <w:rPr>
          <w:rFonts w:hint="eastAsia" w:cs="华文仿宋"/>
          <w:color w:val="000000" w:themeColor="text1"/>
          <w:szCs w:val="32"/>
          <w:highlight w:val="none"/>
          <w14:textFill>
            <w14:solidFill>
              <w14:schemeClr w14:val="tx1"/>
            </w14:solidFill>
          </w14:textFill>
        </w:rPr>
        <w:t>发电企业</w:t>
      </w:r>
      <w:r>
        <w:rPr>
          <w:rFonts w:hint="eastAsia" w:cs="华文仿宋"/>
          <w:color w:val="000000" w:themeColor="text1"/>
          <w:szCs w:val="32"/>
          <w:highlight w:val="none"/>
          <w:lang w:val="en-US" w:eastAsia="zh-CN"/>
          <w14:textFill>
            <w14:solidFill>
              <w14:schemeClr w14:val="tx1"/>
            </w14:solidFill>
          </w14:textFill>
        </w:rPr>
        <w:t>和批发交易用户该时段已有合约），并形成反向交易合约，</w:t>
      </w:r>
      <w:r>
        <w:rPr>
          <w:rFonts w:hint="eastAsia" w:cs="华文仿宋"/>
          <w:color w:val="000000" w:themeColor="text1"/>
          <w:szCs w:val="32"/>
          <w:highlight w:val="none"/>
          <w:lang w:val="en-US" w:eastAsia="zh-CN"/>
          <w14:textFill>
            <w14:solidFill>
              <w14:schemeClr w14:val="tx1"/>
            </w14:solidFill>
          </w14:textFill>
        </w:rPr>
        <w:t>反向交易的合约</w:t>
      </w:r>
      <w:r>
        <w:rPr>
          <w:rFonts w:hint="eastAsia" w:cs="华文仿宋"/>
          <w:color w:val="000000" w:themeColor="text1"/>
          <w:szCs w:val="32"/>
          <w:highlight w:val="none"/>
          <w14:textFill>
            <w14:solidFill>
              <w14:schemeClr w14:val="tx1"/>
            </w14:solidFill>
          </w14:textFill>
        </w:rPr>
        <w:t>价格为</w:t>
      </w:r>
      <w:r>
        <w:rPr>
          <w:rFonts w:hint="eastAsia" w:cs="华文仿宋"/>
          <w:color w:val="000000" w:themeColor="text1"/>
          <w:szCs w:val="32"/>
          <w:highlight w:val="none"/>
          <w:lang w:val="en-US" w:eastAsia="zh-CN"/>
          <w14:textFill>
            <w14:solidFill>
              <w14:schemeClr w14:val="tx1"/>
            </w14:solidFill>
          </w14:textFill>
        </w:rPr>
        <w:t>清洁能源上调服务基准价</w:t>
      </w:r>
      <w:r>
        <w:rPr>
          <w:rFonts w:hint="eastAsia" w:cs="华文仿宋"/>
          <w:color w:val="000000" w:themeColor="text1"/>
          <w:szCs w:val="32"/>
          <w:highlight w:val="none"/>
          <w14:textFill>
            <w14:solidFill>
              <w14:schemeClr w14:val="tx1"/>
            </w14:solidFill>
          </w14:textFill>
        </w:rPr>
        <w:t>。</w:t>
      </w:r>
      <w:r>
        <w:rPr>
          <w:rFonts w:hint="eastAsia" w:ascii="仿宋" w:hAnsi="仿宋" w:cs="仿宋"/>
          <w:szCs w:val="32"/>
          <w:highlight w:val="none"/>
        </w:rPr>
        <w:t>申报数据通过合理性校验后，电力交易机构根据电力调度机构提供的关键通道月内可用输电容量，形成双边交易预成交结果。</w:t>
      </w:r>
    </w:p>
    <w:p w14:paraId="04AA15A9">
      <w:pPr>
        <w:numPr>
          <w:ilvl w:val="0"/>
          <w:numId w:val="4"/>
        </w:numPr>
        <w:shd w:val="clear"/>
        <w:ind w:firstLine="640"/>
        <w:rPr>
          <w:rFonts w:ascii="仿宋" w:hAnsi="仿宋" w:cs="仿宋"/>
          <w:szCs w:val="32"/>
          <w:highlight w:val="none"/>
        </w:rPr>
      </w:pPr>
      <w:r>
        <w:rPr>
          <w:rFonts w:hint="eastAsia" w:ascii="仿宋" w:hAnsi="仿宋" w:cs="仿宋"/>
          <w:szCs w:val="32"/>
          <w:highlight w:val="none"/>
        </w:rPr>
        <w:t>月内集中交易中，发电企业、售电公司和电力用户在规定的报价时限内通过电力交易平台申报报价数据。周</w:t>
      </w:r>
      <w:r>
        <w:rPr>
          <w:rFonts w:hint="eastAsia" w:ascii="仿宋" w:hAnsi="仿宋" w:cs="仿宋"/>
          <w:szCs w:val="32"/>
          <w:highlight w:val="none"/>
          <w:lang w:val="en-US" w:eastAsia="zh-CN"/>
        </w:rPr>
        <w:t>集中</w:t>
      </w:r>
      <w:r>
        <w:rPr>
          <w:rFonts w:hint="eastAsia" w:ascii="仿宋" w:hAnsi="仿宋" w:cs="仿宋"/>
          <w:szCs w:val="32"/>
          <w:highlight w:val="none"/>
        </w:rPr>
        <w:t>交易的标的为次周的</w:t>
      </w:r>
      <w:r>
        <w:rPr>
          <w:rFonts w:hint="eastAsia" w:ascii="仿宋" w:hAnsi="仿宋" w:cs="仿宋"/>
          <w:szCs w:val="32"/>
          <w:highlight w:val="none"/>
          <w:lang w:val="en-US" w:eastAsia="zh-CN"/>
        </w:rPr>
        <w:t>日分时</w:t>
      </w:r>
      <w:r>
        <w:rPr>
          <w:rFonts w:hint="eastAsia" w:ascii="仿宋" w:hAnsi="仿宋" w:cs="仿宋"/>
          <w:szCs w:val="32"/>
          <w:highlight w:val="none"/>
        </w:rPr>
        <w:t>电量，以7天（若当月剩余天数不足7天的则次周至月底）为最小合同周期，可同时组织月内多周交易；日（多日）</w:t>
      </w:r>
      <w:r>
        <w:rPr>
          <w:rFonts w:hint="eastAsia" w:ascii="仿宋" w:hAnsi="仿宋" w:cs="仿宋"/>
          <w:szCs w:val="32"/>
          <w:highlight w:val="none"/>
          <w:lang w:val="en-US" w:eastAsia="zh-CN"/>
        </w:rPr>
        <w:t>集中</w:t>
      </w:r>
      <w:r>
        <w:rPr>
          <w:rFonts w:hint="eastAsia" w:ascii="仿宋" w:hAnsi="仿宋" w:cs="仿宋"/>
          <w:szCs w:val="32"/>
          <w:highlight w:val="none"/>
        </w:rPr>
        <w:t>交易的标的为同一月内</w:t>
      </w:r>
      <w:r>
        <w:rPr>
          <w:rFonts w:hint="eastAsia" w:ascii="仿宋" w:hAnsi="仿宋" w:cs="仿宋"/>
          <w:szCs w:val="32"/>
          <w:highlight w:val="none"/>
          <w:lang w:eastAsia="zh-CN"/>
        </w:rPr>
        <w:t>经营主体</w:t>
      </w:r>
      <w:r>
        <w:rPr>
          <w:rFonts w:hint="eastAsia" w:ascii="仿宋" w:hAnsi="仿宋" w:cs="仿宋"/>
          <w:szCs w:val="32"/>
          <w:highlight w:val="none"/>
        </w:rPr>
        <w:t>选择的首、末日之间的执行周期的</w:t>
      </w:r>
      <w:r>
        <w:rPr>
          <w:rFonts w:hint="eastAsia" w:ascii="仿宋" w:hAnsi="仿宋" w:cs="仿宋"/>
          <w:szCs w:val="32"/>
          <w:highlight w:val="none"/>
          <w:lang w:val="en-US" w:eastAsia="zh-CN"/>
        </w:rPr>
        <w:t>日分时</w:t>
      </w:r>
      <w:r>
        <w:rPr>
          <w:rFonts w:hint="eastAsia" w:ascii="仿宋" w:hAnsi="仿宋" w:cs="仿宋"/>
          <w:szCs w:val="32"/>
          <w:highlight w:val="none"/>
        </w:rPr>
        <w:t>电量</w:t>
      </w:r>
      <w:r>
        <w:rPr>
          <w:rFonts w:hint="eastAsia" w:ascii="仿宋" w:hAnsi="仿宋" w:cs="仿宋"/>
          <w:szCs w:val="32"/>
          <w:highlight w:val="none"/>
          <w:lang w:eastAsia="zh-CN"/>
        </w:rPr>
        <w:t>。</w:t>
      </w:r>
      <w:r>
        <w:rPr>
          <w:rFonts w:hint="eastAsia" w:ascii="Times New Roman" w:hAnsi="Times New Roman" w:eastAsia="仿宋" w:cs="华文仿宋"/>
          <w:color w:val="000000" w:themeColor="text1"/>
          <w:sz w:val="32"/>
          <w:szCs w:val="32"/>
          <w:highlight w:val="none"/>
          <w14:textFill>
            <w14:solidFill>
              <w14:schemeClr w14:val="tx1"/>
            </w14:solidFill>
          </w14:textFill>
        </w:rPr>
        <w:t>周</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 w:cs="华文仿宋"/>
          <w:color w:val="000000" w:themeColor="text1"/>
          <w:sz w:val="32"/>
          <w:szCs w:val="32"/>
          <w:highlight w:val="none"/>
          <w:lang w:val="en-US" w:eastAsia="zh-CN"/>
          <w14:textFill>
            <w14:solidFill>
              <w14:schemeClr w14:val="tx1"/>
            </w14:solidFill>
          </w14:textFill>
        </w:rPr>
        <w:t>日</w:t>
      </w:r>
      <w:r>
        <w:rPr>
          <w:rFonts w:hint="eastAsia" w:cs="华文仿宋"/>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 w:cs="华文仿宋"/>
          <w:color w:val="000000" w:themeColor="text1"/>
          <w:sz w:val="32"/>
          <w:szCs w:val="32"/>
          <w:highlight w:val="none"/>
          <w14:textFill>
            <w14:solidFill>
              <w14:schemeClr w14:val="tx1"/>
            </w14:solidFill>
          </w14:textFill>
        </w:rPr>
        <w:t>交易中，</w:t>
      </w:r>
      <w:r>
        <w:rPr>
          <w:rFonts w:hint="eastAsia" w:cs="华文仿宋"/>
          <w:color w:val="000000" w:themeColor="text1"/>
          <w:szCs w:val="32"/>
          <w:highlight w:val="none"/>
          <w14:textFill>
            <w14:solidFill>
              <w14:schemeClr w14:val="tx1"/>
            </w14:solidFill>
          </w14:textFill>
        </w:rPr>
        <w:t>发电企业只可作为市场合约卖方参加交易，批发交易用户（含电网代理购电）只可作为市场合约买方参加交易。</w:t>
      </w:r>
      <w:r>
        <w:rPr>
          <w:rFonts w:hint="eastAsia" w:ascii="仿宋" w:hAnsi="仿宋" w:cs="仿宋"/>
          <w:szCs w:val="32"/>
          <w:highlight w:val="none"/>
        </w:rPr>
        <w:t>申报数据通过合理性校验后，电力交易机构根据电力调度机构提供的关键通道月内可用输电容量进行市场出清，形成集中交易预成交结果。</w:t>
      </w:r>
    </w:p>
    <w:p w14:paraId="200F1F6A">
      <w:pPr>
        <w:numPr>
          <w:ilvl w:val="0"/>
          <w:numId w:val="4"/>
        </w:numPr>
        <w:shd w:val="clear"/>
        <w:spacing w:line="560" w:lineRule="exact"/>
        <w:ind w:firstLineChars="200"/>
        <w:rPr>
          <w:rFonts w:ascii="Times New Roman" w:hAnsi="Times New Roman" w:eastAsia="华文仿宋" w:cs="Times New Roman"/>
          <w:color w:val="auto"/>
          <w:highlight w:val="none"/>
        </w:rPr>
      </w:pPr>
      <w:r>
        <w:rPr>
          <w:rFonts w:hint="default" w:cs="Times New Roman"/>
          <w:highlight w:val="none"/>
        </w:rPr>
        <w:t>云南</w:t>
      </w:r>
      <w:r>
        <w:rPr>
          <w:rFonts w:hint="eastAsia" w:ascii="仿宋" w:hAnsi="仿宋" w:cs="仿宋"/>
          <w:szCs w:val="32"/>
          <w:highlight w:val="none"/>
          <w:lang w:val="en-US" w:eastAsia="zh-CN"/>
        </w:rPr>
        <w:t>中长期</w:t>
      </w:r>
      <w:r>
        <w:rPr>
          <w:rFonts w:hint="eastAsia" w:cs="Times New Roman"/>
          <w:highlight w:val="none"/>
          <w:lang w:val="en-US" w:eastAsia="zh-CN"/>
        </w:rPr>
        <w:t>批发</w:t>
      </w:r>
      <w:r>
        <w:rPr>
          <w:rFonts w:hint="default" w:cs="Times New Roman"/>
          <w:highlight w:val="none"/>
        </w:rPr>
        <w:t>市场中，定期开市的交易包括年度（多年）交易和月度（多月）交易；连续开市的交易包括日</w:t>
      </w:r>
      <w:r>
        <w:rPr>
          <w:rFonts w:hint="eastAsia" w:cs="Times New Roman"/>
          <w:highlight w:val="none"/>
          <w:lang w:eastAsia="zh-CN"/>
        </w:rPr>
        <w:t>（</w:t>
      </w:r>
      <w:r>
        <w:rPr>
          <w:rFonts w:hint="eastAsia" w:cs="Times New Roman"/>
          <w:highlight w:val="none"/>
          <w:lang w:val="en-US" w:eastAsia="zh-CN"/>
        </w:rPr>
        <w:t>多日</w:t>
      </w:r>
      <w:r>
        <w:rPr>
          <w:rFonts w:hint="eastAsia" w:cs="Times New Roman"/>
          <w:highlight w:val="none"/>
          <w:lang w:eastAsia="zh-CN"/>
        </w:rPr>
        <w:t>）</w:t>
      </w:r>
      <w:r>
        <w:rPr>
          <w:rFonts w:hint="default" w:cs="Times New Roman"/>
          <w:highlight w:val="none"/>
        </w:rPr>
        <w:t>交易</w:t>
      </w:r>
      <w:r>
        <w:rPr>
          <w:rFonts w:hint="eastAsia" w:cs="Times New Roman"/>
          <w:highlight w:val="none"/>
          <w:lang w:eastAsia="zh-CN"/>
        </w:rPr>
        <w:t>；</w:t>
      </w:r>
      <w:r>
        <w:rPr>
          <w:rFonts w:hint="default" w:ascii="Times New Roman" w:hAnsi="Times New Roman" w:eastAsia="仿宋" w:cs="Times New Roman"/>
          <w:sz w:val="32"/>
          <w:szCs w:val="32"/>
          <w:highlight w:val="none"/>
        </w:rPr>
        <w:t>周（多周）</w:t>
      </w:r>
      <w:r>
        <w:rPr>
          <w:rFonts w:hint="eastAsia" w:cs="Times New Roman"/>
          <w:sz w:val="32"/>
          <w:szCs w:val="32"/>
          <w:highlight w:val="none"/>
          <w:lang w:val="en-US" w:eastAsia="zh-CN"/>
        </w:rPr>
        <w:t>交易为不定期开市交易，</w:t>
      </w:r>
      <w:r>
        <w:rPr>
          <w:rFonts w:hint="eastAsia" w:cs="Times New Roman"/>
          <w:szCs w:val="32"/>
          <w:highlight w:val="none"/>
        </w:rPr>
        <w:t>根据市场经营主体需求视情况开展</w:t>
      </w:r>
      <w:r>
        <w:rPr>
          <w:rFonts w:hint="eastAsia" w:cs="Times New Roman"/>
          <w:sz w:val="32"/>
          <w:szCs w:val="32"/>
          <w:highlight w:val="none"/>
          <w:lang w:val="en-US" w:eastAsia="zh-CN"/>
        </w:rPr>
        <w:t>。</w:t>
      </w:r>
      <w:r>
        <w:rPr>
          <w:rFonts w:hint="eastAsia" w:cs="Times New Roman"/>
          <w:highlight w:val="none"/>
          <w:lang w:val="en-US" w:eastAsia="zh-CN"/>
        </w:rPr>
        <w:t>非现货运行期间，</w:t>
      </w:r>
      <w:r>
        <w:rPr>
          <w:rFonts w:hint="default" w:cs="Times New Roman"/>
          <w:highlight w:val="none"/>
        </w:rPr>
        <w:t>交割日（D日）的日交易在（D</w:t>
      </w:r>
      <w:r>
        <w:rPr>
          <w:rFonts w:hint="default" w:ascii="Times New Roman" w:hAnsi="Times New Roman" w:eastAsia="仿宋" w:cs="Times New Roman"/>
          <w:sz w:val="32"/>
          <w:szCs w:val="24"/>
          <w:highlight w:val="none"/>
        </w:rPr>
        <w:t>–</w:t>
      </w:r>
      <w:r>
        <w:rPr>
          <w:rFonts w:hint="default" w:cs="Times New Roman"/>
          <w:highlight w:val="none"/>
        </w:rPr>
        <w:t>1</w:t>
      </w:r>
      <w:r>
        <w:rPr>
          <w:rFonts w:hint="default" w:cs="Times New Roman"/>
          <w:highlight w:val="none"/>
          <w:lang w:val="en-US" w:eastAsia="zh-CN"/>
        </w:rPr>
        <w:t>日</w:t>
      </w:r>
      <w:r>
        <w:rPr>
          <w:rFonts w:hint="default" w:cs="Times New Roman"/>
          <w:highlight w:val="none"/>
        </w:rPr>
        <w:t>）</w:t>
      </w:r>
      <w:r>
        <w:rPr>
          <w:rFonts w:hint="default" w:cs="Times New Roman"/>
          <w:highlight w:val="none"/>
          <w:lang w:val="en-US" w:eastAsia="zh-CN"/>
        </w:rPr>
        <w:t>工作</w:t>
      </w:r>
      <w:r>
        <w:rPr>
          <w:rFonts w:hint="default" w:cs="Times New Roman"/>
          <w:highlight w:val="none"/>
        </w:rPr>
        <w:t>日组织。现货运行期间，D日的日电量交易可提前到（D</w:t>
      </w:r>
      <w:r>
        <w:rPr>
          <w:rFonts w:hint="default" w:ascii="Times New Roman" w:hAnsi="Times New Roman" w:eastAsia="仿宋" w:cs="Times New Roman"/>
          <w:sz w:val="32"/>
          <w:szCs w:val="24"/>
          <w:highlight w:val="none"/>
        </w:rPr>
        <w:t>–</w:t>
      </w:r>
      <w:r>
        <w:rPr>
          <w:rFonts w:hint="default" w:cs="Times New Roman"/>
          <w:highlight w:val="none"/>
        </w:rPr>
        <w:t>2）日组织。</w:t>
      </w:r>
      <w:r>
        <w:rPr>
          <w:rFonts w:hint="eastAsia" w:cs="Times New Roman"/>
          <w:highlight w:val="none"/>
          <w:lang w:val="en-US" w:eastAsia="zh-CN"/>
        </w:rPr>
        <w:t>具体</w:t>
      </w:r>
      <w:r>
        <w:rPr>
          <w:rFonts w:hint="default" w:ascii="Times New Roman" w:hAnsi="Times New Roman" w:eastAsia="仿宋" w:cs="Times New Roman"/>
          <w:color w:val="auto"/>
          <w:highlight w:val="none"/>
        </w:rPr>
        <w:t>交易时间</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交易组织方式</w:t>
      </w:r>
      <w:r>
        <w:rPr>
          <w:rFonts w:hint="default" w:ascii="Times New Roman" w:hAnsi="Times New Roman" w:eastAsia="仿宋" w:cs="Times New Roman"/>
          <w:color w:val="auto"/>
          <w:highlight w:val="none"/>
        </w:rPr>
        <w:t>等事项以电力交易机构发布的信息披露</w:t>
      </w:r>
      <w:r>
        <w:rPr>
          <w:rFonts w:hint="default" w:ascii="Times New Roman" w:hAnsi="Times New Roman" w:eastAsia="仿宋" w:cs="Times New Roman"/>
          <w:color w:val="auto"/>
          <w:highlight w:val="none"/>
          <w:lang w:val="en-US" w:eastAsia="zh-CN"/>
        </w:rPr>
        <w:t>或交易公告</w:t>
      </w:r>
      <w:r>
        <w:rPr>
          <w:rFonts w:hint="default" w:ascii="Times New Roman" w:hAnsi="Times New Roman" w:eastAsia="仿宋" w:cs="Times New Roman"/>
          <w:color w:val="auto"/>
          <w:highlight w:val="none"/>
        </w:rPr>
        <w:t>为准。</w:t>
      </w:r>
    </w:p>
    <w:p w14:paraId="4F7FC8FE">
      <w:pPr>
        <w:pStyle w:val="6"/>
        <w:numPr>
          <w:ilvl w:val="0"/>
          <w:numId w:val="4"/>
        </w:numPr>
        <w:shd w:val="clear"/>
        <w:ind w:firstLine="640"/>
        <w:rPr>
          <w:rFonts w:ascii="仿宋" w:hAnsi="仿宋" w:cs="仿宋"/>
          <w:szCs w:val="32"/>
          <w:highlight w:val="none"/>
        </w:rPr>
      </w:pPr>
      <w:r>
        <w:rPr>
          <w:rFonts w:hint="eastAsia" w:ascii="Times New Roman" w:hAnsi="Times New Roman" w:eastAsia="仿宋" w:cs="Times New Roman"/>
          <w:sz w:val="32"/>
          <w:szCs w:val="32"/>
          <w:highlight w:val="none"/>
          <w:lang w:val="en-US" w:eastAsia="zh-CN"/>
        </w:rPr>
        <w:t>电力交易机构分别</w:t>
      </w:r>
      <w:r>
        <w:rPr>
          <w:rFonts w:hint="default" w:ascii="Times New Roman" w:hAnsi="Times New Roman" w:eastAsia="仿宋" w:cs="Times New Roman"/>
          <w:sz w:val="32"/>
          <w:szCs w:val="32"/>
          <w:highlight w:val="none"/>
        </w:rPr>
        <w:t>汇总年（多年）、月（多月）、周（多周）、日（多日）交易每类交易的预成交电量，</w:t>
      </w:r>
      <w:r>
        <w:rPr>
          <w:rFonts w:hint="eastAsia" w:ascii="Times New Roman" w:hAnsi="Times New Roman" w:eastAsia="仿宋" w:cs="Times New Roman"/>
          <w:sz w:val="32"/>
          <w:szCs w:val="32"/>
          <w:highlight w:val="none"/>
          <w:lang w:val="en-US" w:eastAsia="zh-CN"/>
        </w:rPr>
        <w:t>在非现货运行期间</w:t>
      </w:r>
      <w:r>
        <w:rPr>
          <w:rFonts w:hint="default" w:ascii="Times New Roman" w:hAnsi="Times New Roman" w:eastAsia="仿宋" w:cs="Times New Roman"/>
          <w:sz w:val="32"/>
          <w:szCs w:val="32"/>
          <w:highlight w:val="none"/>
        </w:rPr>
        <w:t>提交电力调度机构进行安全校核。</w:t>
      </w:r>
    </w:p>
    <w:p w14:paraId="1E4DEA8C">
      <w:pPr>
        <w:pStyle w:val="4"/>
        <w:shd w:val="clear"/>
        <w:rPr>
          <w:rFonts w:hint="default" w:ascii="仿宋" w:hAnsi="仿宋" w:eastAsia="楷体" w:cs="仿宋"/>
          <w:highlight w:val="none"/>
        </w:rPr>
      </w:pPr>
      <w:r>
        <w:rPr>
          <w:rFonts w:hint="eastAsia" w:cs="Times New Roman"/>
          <w:highlight w:val="none"/>
        </w:rPr>
        <w:t>第五节  交易</w:t>
      </w:r>
      <w:r>
        <w:rPr>
          <w:rFonts w:hint="eastAsia" w:cs="Times New Roman"/>
          <w:highlight w:val="none"/>
          <w:lang w:val="en-US" w:eastAsia="zh-CN"/>
        </w:rPr>
        <w:t>约束条件</w:t>
      </w:r>
    </w:p>
    <w:p w14:paraId="550E3611">
      <w:pPr>
        <w:numPr>
          <w:ilvl w:val="0"/>
          <w:numId w:val="4"/>
        </w:numPr>
        <w:shd w:val="clear"/>
        <w:ind w:firstLine="640"/>
        <w:rPr>
          <w:rFonts w:hint="eastAsia" w:cs="Times New Roman"/>
          <w:highlight w:val="none"/>
        </w:rPr>
      </w:pPr>
      <w:r>
        <w:rPr>
          <w:rFonts w:hint="eastAsia" w:ascii="仿宋" w:hAnsi="仿宋" w:cs="仿宋"/>
          <w:szCs w:val="32"/>
          <w:highlight w:val="none"/>
        </w:rPr>
        <w:t>交易约束条件</w:t>
      </w:r>
      <w:r>
        <w:rPr>
          <w:rFonts w:hint="eastAsia" w:ascii="仿宋" w:hAnsi="仿宋" w:cs="仿宋"/>
          <w:szCs w:val="32"/>
          <w:highlight w:val="none"/>
          <w:lang w:eastAsia="zh-CN"/>
        </w:rPr>
        <w:t>。</w:t>
      </w:r>
      <w:r>
        <w:rPr>
          <w:rFonts w:hint="eastAsia" w:ascii="仿宋" w:hAnsi="仿宋" w:cs="仿宋"/>
          <w:szCs w:val="32"/>
          <w:highlight w:val="none"/>
          <w:lang w:val="en-US" w:eastAsia="zh-CN"/>
        </w:rPr>
        <w:t>交易约束条件主要包含</w:t>
      </w:r>
      <w:r>
        <w:rPr>
          <w:rFonts w:hint="eastAsia" w:ascii="仿宋" w:hAnsi="仿宋" w:cs="仿宋"/>
          <w:szCs w:val="32"/>
          <w:highlight w:val="none"/>
        </w:rPr>
        <w:t>净合同量约束</w:t>
      </w:r>
      <w:r>
        <w:rPr>
          <w:rFonts w:hint="eastAsia" w:ascii="仿宋" w:hAnsi="仿宋" w:cs="仿宋"/>
          <w:szCs w:val="32"/>
          <w:highlight w:val="none"/>
          <w:lang w:val="en-US" w:eastAsia="zh-CN"/>
        </w:rPr>
        <w:t>和累计合同约束。</w:t>
      </w:r>
    </w:p>
    <w:p w14:paraId="1A21EBFB">
      <w:pPr>
        <w:numPr>
          <w:ilvl w:val="0"/>
          <w:numId w:val="4"/>
        </w:numPr>
        <w:shd w:val="clear"/>
        <w:ind w:firstLine="640"/>
        <w:rPr>
          <w:rFonts w:hint="eastAsia" w:cs="Times New Roman"/>
          <w:highlight w:val="none"/>
        </w:rPr>
      </w:pPr>
      <w:r>
        <w:rPr>
          <w:rFonts w:hint="eastAsia" w:ascii="仿宋" w:hAnsi="仿宋" w:cs="仿宋"/>
          <w:szCs w:val="32"/>
          <w:highlight w:val="none"/>
        </w:rPr>
        <w:t>月度净合同量约束</w:t>
      </w:r>
      <w:r>
        <w:rPr>
          <w:rFonts w:hint="eastAsia" w:ascii="仿宋" w:hAnsi="仿宋" w:cs="仿宋"/>
          <w:szCs w:val="32"/>
          <w:highlight w:val="none"/>
          <w:lang w:eastAsia="zh-CN"/>
        </w:rPr>
        <w:t>，</w:t>
      </w:r>
      <w:r>
        <w:rPr>
          <w:rFonts w:hint="eastAsia" w:ascii="Times New Roman" w:hAnsi="Times New Roman" w:eastAsia="仿宋" w:cs="华文仿宋"/>
          <w:color w:val="000000" w:themeColor="text1"/>
          <w:sz w:val="32"/>
          <w:szCs w:val="32"/>
          <w:highlight w:val="none"/>
          <w14:textFill>
            <w14:solidFill>
              <w14:schemeClr w14:val="tx1"/>
            </w14:solidFill>
          </w14:textFill>
        </w:rPr>
        <w:t>指</w:t>
      </w: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所交易标的月合同电量的代数和。</w:t>
      </w:r>
    </w:p>
    <w:p w14:paraId="4CD5BFAD">
      <w:pPr>
        <w:numPr>
          <w:ilvl w:val="0"/>
          <w:numId w:val="4"/>
        </w:numPr>
        <w:shd w:val="clear"/>
        <w:ind w:firstLine="640"/>
        <w:rPr>
          <w:rFonts w:hint="eastAsia" w:eastAsia="方正仿宋_GBK" w:cs="Times New Roman"/>
          <w:highlight w:val="none"/>
          <w:lang w:eastAsia="zh-CN"/>
        </w:rPr>
      </w:pPr>
      <w:r>
        <w:rPr>
          <w:rFonts w:hint="eastAsia" w:ascii="仿宋" w:hAnsi="仿宋" w:eastAsia="仿宋" w:cs="仿宋"/>
          <w:color w:val="auto"/>
          <w:sz w:val="32"/>
          <w:szCs w:val="32"/>
          <w:highlight w:val="none"/>
        </w:rPr>
        <w:t>月度</w:t>
      </w:r>
      <w:r>
        <w:rPr>
          <w:rFonts w:hint="eastAsia" w:ascii="Times New Roman" w:hAnsi="Times New Roman" w:eastAsia="仿宋" w:cs="华文仿宋"/>
          <w:color w:val="000000" w:themeColor="text1"/>
          <w:sz w:val="32"/>
          <w:szCs w:val="32"/>
          <w:highlight w:val="none"/>
          <w14:textFill>
            <w14:solidFill>
              <w14:schemeClr w14:val="tx1"/>
            </w14:solidFill>
          </w14:textFill>
        </w:rPr>
        <w:t>净合同量上限</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 w:cs="华文仿宋"/>
          <w:sz w:val="32"/>
          <w:szCs w:val="32"/>
          <w:highlight w:val="none"/>
        </w:rPr>
        <w:t>为降低市场操纵风险，保障电力中长期合同有效履约，合理设置</w:t>
      </w:r>
      <w:r>
        <w:rPr>
          <w:rFonts w:hint="eastAsia" w:ascii="Times New Roman" w:hAnsi="Times New Roman" w:eastAsia="仿宋" w:cs="华文仿宋"/>
          <w:sz w:val="32"/>
          <w:szCs w:val="32"/>
          <w:highlight w:val="none"/>
          <w:lang w:eastAsia="zh-CN"/>
        </w:rPr>
        <w:t>经营主体</w:t>
      </w:r>
      <w:r>
        <w:rPr>
          <w:rFonts w:hint="eastAsia" w:ascii="Times New Roman" w:hAnsi="Times New Roman" w:eastAsia="仿宋" w:cs="华文仿宋"/>
          <w:sz w:val="32"/>
          <w:szCs w:val="32"/>
          <w:highlight w:val="none"/>
        </w:rPr>
        <w:t>月度净合同上限</w:t>
      </w:r>
      <w:r>
        <w:rPr>
          <w:rFonts w:hint="eastAsia" w:cs="华文仿宋"/>
          <w:sz w:val="32"/>
          <w:szCs w:val="32"/>
          <w:highlight w:val="none"/>
          <w:lang w:eastAsia="zh-CN"/>
        </w:rPr>
        <w:t>，</w:t>
      </w:r>
      <w:r>
        <w:rPr>
          <w:rFonts w:hint="eastAsia" w:cs="华文仿宋"/>
          <w:sz w:val="32"/>
          <w:szCs w:val="32"/>
          <w:highlight w:val="none"/>
          <w:lang w:val="en-US" w:eastAsia="zh-CN"/>
        </w:rPr>
        <w:t>发电侧的月度净合同上限与经营主体的月度发电能力相挂钩，用电侧的月度净合同上限与经营主体的月度用电需求相挂钩</w:t>
      </w:r>
      <w:r>
        <w:rPr>
          <w:rFonts w:hint="eastAsia" w:ascii="Times New Roman" w:hAnsi="Times New Roman" w:eastAsia="仿宋" w:cs="华文仿宋"/>
          <w:sz w:val="32"/>
          <w:szCs w:val="32"/>
          <w:highlight w:val="none"/>
        </w:rPr>
        <w:t>。年度（多年）的净合同上限由各月度</w:t>
      </w:r>
      <w:r>
        <w:rPr>
          <w:rFonts w:hint="eastAsia" w:ascii="Times New Roman" w:hAnsi="Times New Roman" w:eastAsia="仿宋" w:cs="华文仿宋"/>
          <w:color w:val="000000" w:themeColor="text1"/>
          <w:sz w:val="32"/>
          <w:szCs w:val="32"/>
          <w:highlight w:val="none"/>
          <w14:textFill>
            <w14:solidFill>
              <w14:schemeClr w14:val="tx1"/>
            </w14:solidFill>
          </w14:textFill>
        </w:rPr>
        <w:t>净合同量上限组成。</w:t>
      </w:r>
    </w:p>
    <w:p w14:paraId="03F8DB15">
      <w:pPr>
        <w:keepNext w:val="0"/>
        <w:keepLines w:val="0"/>
        <w:numPr>
          <w:ilvl w:val="0"/>
          <w:numId w:val="4"/>
        </w:numPr>
        <w:shd w:val="clear"/>
        <w:adjustRightInd/>
        <w:snapToGrid/>
        <w:spacing w:before="0" w:beforeLines="-2147483648" w:line="240" w:lineRule="auto"/>
        <w:ind w:left="0" w:firstLine="640" w:firstLineChars="0"/>
        <w:outlineLvl w:val="9"/>
        <w:rPr>
          <w:rFonts w:ascii="Times New Roman" w:hAnsi="Times New Roman" w:eastAsia="仿宋" w:cs="华文仿宋"/>
          <w:b w:val="0"/>
          <w:bCs w:val="0"/>
          <w:color w:val="000000" w:themeColor="text1"/>
          <w:kern w:val="44"/>
          <w:sz w:val="32"/>
          <w:szCs w:val="32"/>
          <w:highlight w:val="none"/>
          <w14:textFill>
            <w14:solidFill>
              <w14:schemeClr w14:val="tx1"/>
            </w14:solidFill>
          </w14:textFill>
        </w:rPr>
      </w:pPr>
      <w:bookmarkStart w:id="6" w:name="_Toc30164"/>
      <w:r>
        <w:rPr>
          <w:rFonts w:hint="eastAsia" w:ascii="Times New Roman" w:hAnsi="Times New Roman" w:eastAsia="仿宋" w:cs="华文仿宋"/>
          <w:b w:val="0"/>
          <w:bCs w:val="0"/>
          <w:color w:val="000000" w:themeColor="text1"/>
          <w:kern w:val="44"/>
          <w:sz w:val="32"/>
          <w:szCs w:val="32"/>
          <w:highlight w:val="none"/>
          <w14:textFill>
            <w14:solidFill>
              <w14:schemeClr w14:val="tx1"/>
            </w14:solidFill>
          </w14:textFill>
        </w:rPr>
        <w:t>发电侧</w:t>
      </w:r>
      <w:r>
        <w:rPr>
          <w:rFonts w:hint="default" w:ascii="仿宋" w:hAnsi="仿宋" w:eastAsia="仿宋" w:cs="仿宋"/>
          <w:b w:val="0"/>
          <w:bCs w:val="0"/>
          <w:color w:val="auto"/>
          <w:kern w:val="2"/>
          <w:sz w:val="32"/>
          <w:szCs w:val="32"/>
          <w:highlight w:val="none"/>
        </w:rPr>
        <w:t>月度</w:t>
      </w:r>
      <w:r>
        <w:rPr>
          <w:rFonts w:hint="eastAsia" w:ascii="Times New Roman" w:hAnsi="Times New Roman" w:eastAsia="仿宋" w:cs="华文仿宋"/>
          <w:b w:val="0"/>
          <w:bCs w:val="0"/>
          <w:color w:val="000000" w:themeColor="text1"/>
          <w:kern w:val="44"/>
          <w:sz w:val="32"/>
          <w:szCs w:val="32"/>
          <w:highlight w:val="none"/>
          <w14:textFill>
            <w14:solidFill>
              <w14:schemeClr w14:val="tx1"/>
            </w14:solidFill>
          </w14:textFill>
        </w:rPr>
        <w:t>净合同量计算与调整</w:t>
      </w:r>
      <w:bookmarkEnd w:id="6"/>
      <w:r>
        <w:rPr>
          <w:rFonts w:hint="eastAsia" w:ascii="Times New Roman" w:hAnsi="Times New Roman" w:cs="华文仿宋"/>
          <w:b w:val="0"/>
          <w:bCs w:val="0"/>
          <w:color w:val="000000" w:themeColor="text1"/>
          <w:kern w:val="44"/>
          <w:sz w:val="32"/>
          <w:szCs w:val="32"/>
          <w:highlight w:val="none"/>
          <w:lang w:eastAsia="zh-CN"/>
          <w14:textFill>
            <w14:solidFill>
              <w14:schemeClr w14:val="tx1"/>
            </w14:solidFill>
          </w14:textFill>
        </w:rPr>
        <w:t>。</w:t>
      </w:r>
    </w:p>
    <w:p w14:paraId="4B8C6187">
      <w:pPr>
        <w:keepNext w:val="0"/>
        <w:keepLines w:val="0"/>
        <w:numPr>
          <w:ilvl w:val="-1"/>
          <w:numId w:val="0"/>
        </w:numPr>
        <w:shd w:val="clear"/>
        <w:adjustRightInd/>
        <w:snapToGrid/>
        <w:spacing w:before="0" w:beforeLines="-2147483648" w:line="240" w:lineRule="auto"/>
        <w:ind w:left="640" w:firstLine="0" w:firstLineChars="0"/>
        <w:outlineLvl w:val="9"/>
        <w:rPr>
          <w:rFonts w:ascii="Times New Roman" w:hAnsi="Times New Roman" w:eastAsia="仿宋" w:cs="华文仿宋"/>
          <w:b w:val="0"/>
          <w:bCs w:val="0"/>
          <w:color w:val="000000" w:themeColor="text1"/>
          <w:kern w:val="44"/>
          <w:sz w:val="32"/>
          <w:szCs w:val="32"/>
          <w:highlight w:val="none"/>
          <w14:textFill>
            <w14:solidFill>
              <w14:schemeClr w14:val="tx1"/>
            </w14:solidFill>
          </w14:textFill>
        </w:rPr>
      </w:pPr>
      <w:r>
        <w:rPr>
          <w:rFonts w:hint="eastAsia" w:cs="华文仿宋"/>
          <w:b w:val="0"/>
          <w:bCs w:val="0"/>
          <w:color w:val="000000" w:themeColor="text1"/>
          <w:kern w:val="44"/>
          <w:sz w:val="32"/>
          <w:szCs w:val="32"/>
          <w:highlight w:val="none"/>
          <w:lang w:eastAsia="zh-CN"/>
          <w14:textFill>
            <w14:solidFill>
              <w14:schemeClr w14:val="tx1"/>
            </w14:solidFill>
          </w14:textFill>
        </w:rPr>
        <w:t>（</w:t>
      </w:r>
      <w:r>
        <w:rPr>
          <w:rFonts w:hint="eastAsia" w:cs="华文仿宋"/>
          <w:b w:val="0"/>
          <w:bCs w:val="0"/>
          <w:color w:val="000000" w:themeColor="text1"/>
          <w:kern w:val="44"/>
          <w:sz w:val="32"/>
          <w:szCs w:val="32"/>
          <w:highlight w:val="none"/>
          <w:lang w:val="en-US" w:eastAsia="zh-CN"/>
          <w14:textFill>
            <w14:solidFill>
              <w14:schemeClr w14:val="tx1"/>
            </w14:solidFill>
          </w14:textFill>
        </w:rPr>
        <w:t>一</w:t>
      </w:r>
      <w:r>
        <w:rPr>
          <w:rFonts w:hint="eastAsia" w:cs="华文仿宋"/>
          <w:b w:val="0"/>
          <w:bCs w:val="0"/>
          <w:color w:val="000000" w:themeColor="text1"/>
          <w:kern w:val="44"/>
          <w:sz w:val="32"/>
          <w:szCs w:val="32"/>
          <w:highlight w:val="none"/>
          <w:lang w:eastAsia="zh-CN"/>
          <w14:textFill>
            <w14:solidFill>
              <w14:schemeClr w14:val="tx1"/>
            </w14:solidFill>
          </w14:textFill>
        </w:rPr>
        <w:t>）</w:t>
      </w:r>
      <w:r>
        <w:rPr>
          <w:rFonts w:hint="eastAsia" w:ascii="Times New Roman" w:hAnsi="Times New Roman" w:eastAsia="仿宋" w:cs="华文仿宋"/>
          <w:sz w:val="32"/>
          <w:szCs w:val="32"/>
          <w:highlight w:val="none"/>
        </w:rPr>
        <w:t>发电能力默认值</w:t>
      </w:r>
    </w:p>
    <w:p w14:paraId="2059E80A">
      <w:p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发电能力默认值为综合历史发电量、一次能源预测等信息确定的可以大概率完成的发电能力：</w:t>
      </w:r>
    </w:p>
    <w:p w14:paraId="40EBF021">
      <w:p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水电厂、风电场、光伏电厂发电能力默认值按其历史前3年对应月份月度上网电量的平均值确定。</w:t>
      </w:r>
    </w:p>
    <w:p w14:paraId="56C2750D">
      <w:p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火电厂发电能力默认值按其可调装机容量、上年度平均厂用电率计算确定。</w:t>
      </w:r>
    </w:p>
    <w:p w14:paraId="11423CDB">
      <w:pPr>
        <w:shd w:val="clear"/>
        <w:rPr>
          <w:rFonts w:hint="eastAsia" w:ascii="Times New Roman" w:hAnsi="Times New Roman" w:eastAsia="仿宋" w:cs="华文仿宋"/>
          <w:sz w:val="32"/>
          <w:szCs w:val="32"/>
          <w:highlight w:val="none"/>
        </w:rPr>
      </w:pPr>
      <w:r>
        <w:rPr>
          <w:rFonts w:hint="eastAsia" w:ascii="Times New Roman" w:hAnsi="Times New Roman" w:eastAsia="仿宋" w:cs="华文仿宋"/>
          <w:color w:val="000000" w:themeColor="text1"/>
          <w:sz w:val="32"/>
          <w:szCs w:val="32"/>
          <w:highlight w:val="none"/>
          <w14:textFill>
            <w14:solidFill>
              <w14:schemeClr w14:val="tx1"/>
            </w14:solidFill>
          </w14:textFill>
        </w:rPr>
        <w:t>如发电企业投产时间不足3年，则相应参数（上网电量或平均利用小时数）根据历史同期对应月份月度平均值确定。如当月无历史同期值，则相应参数采用省</w:t>
      </w:r>
      <w:r>
        <w:rPr>
          <w:rFonts w:hint="eastAsia" w:ascii="Times New Roman" w:hAnsi="Times New Roman" w:eastAsia="仿宋" w:cs="华文仿宋"/>
          <w:sz w:val="32"/>
          <w:szCs w:val="32"/>
          <w:highlight w:val="none"/>
        </w:rPr>
        <w:t>级电力调度机构披露的同类型发电厂同期月度平均利用小时数确定。</w:t>
      </w:r>
    </w:p>
    <w:p w14:paraId="37F28523">
      <w:pPr>
        <w:pStyle w:val="6"/>
        <w:shd w:val="clear"/>
        <w:rPr>
          <w:rFonts w:hint="eastAsia" w:ascii="Times New Roman" w:hAnsi="Times New Roman" w:eastAsia="仿宋" w:cs="华文仿宋"/>
          <w:sz w:val="32"/>
          <w:szCs w:val="32"/>
          <w:highlight w:val="none"/>
          <w:lang w:eastAsia="zh-CN"/>
        </w:rPr>
      </w:pP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lang w:val="en-US" w:eastAsia="zh-CN"/>
        </w:rPr>
        <w:t>二</w:t>
      </w: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rPr>
        <w:t>发电能力调整</w:t>
      </w:r>
    </w:p>
    <w:p w14:paraId="6391AB8D">
      <w:pPr>
        <w:shd w:val="clear"/>
        <w:spacing w:line="560" w:lineRule="exact"/>
        <w:ind w:firstLine="640" w:firstLineChars="200"/>
        <w:rPr>
          <w:rFonts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发电企业可在每月最后1个工作日前通过电力交易平台申请调整次月发电能力。调整后的发电能力如不超过其历史前3年对应月份上网电量最大值则自动生效。如需进一步增加，则应提供来水预测</w:t>
      </w:r>
      <w:r>
        <w:rPr>
          <w:rFonts w:hint="eastAsia" w:cs="华文仿宋"/>
          <w:sz w:val="32"/>
          <w:szCs w:val="32"/>
          <w:highlight w:val="none"/>
          <w:lang w:eastAsia="zh-CN"/>
        </w:rPr>
        <w:t>、气象条件</w:t>
      </w:r>
      <w:r>
        <w:rPr>
          <w:rFonts w:hint="eastAsia" w:ascii="Times New Roman" w:hAnsi="Times New Roman" w:eastAsia="仿宋" w:cs="华文仿宋"/>
          <w:sz w:val="32"/>
          <w:szCs w:val="32"/>
          <w:highlight w:val="none"/>
        </w:rPr>
        <w:t>、新投增容等相关书面材料，经</w:t>
      </w:r>
      <w:r>
        <w:rPr>
          <w:rFonts w:hint="eastAsia" w:cs="华文仿宋"/>
          <w:sz w:val="32"/>
          <w:szCs w:val="32"/>
          <w:highlight w:val="none"/>
          <w:lang w:val="en-US" w:eastAsia="zh-CN"/>
        </w:rPr>
        <w:t>电力交易机构</w:t>
      </w:r>
      <w:r>
        <w:rPr>
          <w:rFonts w:hint="eastAsia" w:ascii="Times New Roman" w:hAnsi="Times New Roman" w:eastAsia="仿宋" w:cs="华文仿宋"/>
          <w:sz w:val="32"/>
          <w:szCs w:val="32"/>
          <w:highlight w:val="none"/>
        </w:rPr>
        <w:t>确认后生效。发电能力调减时，不得低于其优先发电计划电量、当前已成交电量、尚未发布成交结果但已申报成功电量之和。</w:t>
      </w:r>
    </w:p>
    <w:p w14:paraId="0F35643B">
      <w:pPr>
        <w:shd w:val="clear"/>
        <w:spacing w:line="560" w:lineRule="exact"/>
        <w:ind w:firstLine="640" w:firstLineChars="200"/>
        <w:rPr>
          <w:rFonts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发电企业在月内可申请调增</w:t>
      </w:r>
      <w:r>
        <w:rPr>
          <w:rFonts w:hint="eastAsia" w:cs="华文仿宋"/>
          <w:sz w:val="32"/>
          <w:szCs w:val="32"/>
          <w:highlight w:val="none"/>
          <w:lang w:val="en-US" w:eastAsia="zh-CN"/>
        </w:rPr>
        <w:t>或调减</w:t>
      </w:r>
      <w:r>
        <w:rPr>
          <w:rFonts w:hint="eastAsia" w:ascii="Times New Roman" w:hAnsi="Times New Roman" w:eastAsia="仿宋" w:cs="华文仿宋"/>
          <w:sz w:val="32"/>
          <w:szCs w:val="32"/>
          <w:highlight w:val="none"/>
        </w:rPr>
        <w:t>当月发电能力</w:t>
      </w:r>
      <w:r>
        <w:rPr>
          <w:rFonts w:hint="eastAsia" w:cs="华文仿宋"/>
          <w:sz w:val="32"/>
          <w:szCs w:val="32"/>
          <w:highlight w:val="none"/>
          <w:lang w:val="en-US" w:eastAsia="zh-CN"/>
        </w:rPr>
        <w:t>各</w:t>
      </w:r>
      <w:r>
        <w:rPr>
          <w:rFonts w:hint="eastAsia" w:ascii="Times New Roman" w:hAnsi="Times New Roman" w:eastAsia="仿宋" w:cs="华文仿宋"/>
          <w:sz w:val="32"/>
          <w:szCs w:val="32"/>
          <w:highlight w:val="none"/>
        </w:rPr>
        <w:t>2次。发电企业调整后发电能力超过其历史前3年对应月份上网电量最大值的，应同时做出诚信交易承诺。发电企业发电能力预测偏差值和预测准确率纳入其交易行为信用评价。发电企业（火电企业除外）发电能力预测偏差值超过0.5亿千瓦时</w:t>
      </w:r>
      <w:r>
        <w:rPr>
          <w:rFonts w:hint="eastAsia" w:cs="华文仿宋"/>
          <w:sz w:val="32"/>
          <w:szCs w:val="32"/>
          <w:highlight w:val="none"/>
          <w:lang w:val="en-US" w:eastAsia="zh-CN"/>
        </w:rPr>
        <w:t>且超过自身上网电量3%</w:t>
      </w:r>
      <w:r>
        <w:rPr>
          <w:rFonts w:hint="eastAsia" w:ascii="Times New Roman" w:hAnsi="Times New Roman" w:eastAsia="仿宋" w:cs="华文仿宋"/>
          <w:sz w:val="32"/>
          <w:szCs w:val="32"/>
          <w:highlight w:val="none"/>
        </w:rPr>
        <w:t>的，应通过书面方式说明原因，出现上述情况且无正当理由累计2次及以上的，即时暂停该发电企业调整发电能力权限3个月，期间采用默认值作为其发电能力。发电能力预测偏差值和预测准确率计算方法如下：</w:t>
      </w:r>
    </w:p>
    <w:p w14:paraId="13D4F74A">
      <w:pPr>
        <w:pStyle w:val="6"/>
        <w:shd w:val="clear"/>
        <w:spacing w:line="240" w:lineRule="auto"/>
        <w:ind w:left="113" w:firstLine="0" w:firstLineChars="0"/>
        <w:jc w:val="center"/>
        <w:rPr>
          <w:rFonts w:ascii="Times New Roman" w:hAnsi="Times New Roman" w:eastAsia="仿宋"/>
          <w:highlight w:val="none"/>
        </w:rPr>
      </w:pPr>
      <w:r>
        <w:rPr>
          <w:rFonts w:hint="eastAsia" w:ascii="Times New Roman" w:hAnsi="Times New Roman" w:eastAsia="仿宋"/>
          <w:position w:val="-14"/>
          <w:highlight w:val="none"/>
        </w:rPr>
        <w:object>
          <v:shape id="_x0000_i1036" o:spt="75" type="#_x0000_t75" style="height:23.25pt;width:258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37">
            <o:LockedField>false</o:LockedField>
          </o:OLEObject>
        </w:object>
      </w:r>
    </w:p>
    <w:p w14:paraId="5DFDCBDE">
      <w:pPr>
        <w:shd w:val="clear"/>
        <w:spacing w:line="240" w:lineRule="auto"/>
        <w:ind w:firstLine="0" w:firstLineChars="0"/>
        <w:jc w:val="center"/>
        <w:rPr>
          <w:rFonts w:hint="eastAsia" w:ascii="Times New Roman" w:hAnsi="Times New Roman" w:eastAsia="仿宋" w:cs="华文仿宋"/>
          <w:sz w:val="32"/>
          <w:szCs w:val="32"/>
          <w:highlight w:val="none"/>
        </w:rPr>
      </w:pPr>
      <w:r>
        <w:rPr>
          <w:rFonts w:hint="eastAsia" w:ascii="Times New Roman" w:hAnsi="Times New Roman" w:eastAsia="仿宋"/>
          <w:position w:val="-30"/>
          <w:highlight w:val="none"/>
        </w:rPr>
        <w:object>
          <v:shape id="_x0000_i1037" o:spt="75" type="#_x0000_t75" style="height:39.75pt;width:318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7" r:id="rId39">
            <o:LockedField>false</o:LockedField>
          </o:OLEObject>
        </w:object>
      </w:r>
    </w:p>
    <w:p w14:paraId="69CAAE66">
      <w:pPr>
        <w:pStyle w:val="6"/>
        <w:shd w:val="clear"/>
        <w:rPr>
          <w:rFonts w:hint="eastAsia" w:ascii="Times New Roman" w:hAnsi="Times New Roman" w:eastAsia="仿宋" w:cs="华文仿宋"/>
          <w:sz w:val="32"/>
          <w:szCs w:val="32"/>
          <w:highlight w:val="none"/>
          <w:lang w:eastAsia="zh-CN"/>
        </w:rPr>
      </w:pP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lang w:val="en-US" w:eastAsia="zh-CN"/>
        </w:rPr>
        <w:t>三</w:t>
      </w: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rPr>
        <w:t>发电企业月度净合同量上限计算</w:t>
      </w:r>
    </w:p>
    <w:p w14:paraId="1EAE1FE1">
      <w:pPr>
        <w:shd w:val="clear"/>
        <w:spacing w:line="560" w:lineRule="exact"/>
        <w:ind w:firstLine="640" w:firstLineChars="200"/>
        <w:rPr>
          <w:rFonts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发电企业实时获取其发电能力参与交易，具体计算公式为：</w:t>
      </w:r>
    </w:p>
    <w:p w14:paraId="768116C7">
      <w:pPr>
        <w:shd w:val="clear"/>
        <w:spacing w:line="560" w:lineRule="exact"/>
        <w:ind w:firstLine="640" w:firstLineChars="200"/>
        <w:rPr>
          <w:rFonts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电厂月度净合同量上限=电厂月度发电能力。</w:t>
      </w:r>
    </w:p>
    <w:p w14:paraId="45839E06">
      <w:pPr>
        <w:pStyle w:val="6"/>
        <w:shd w:val="clear"/>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电厂月度净合同量下限为0。</w:t>
      </w:r>
    </w:p>
    <w:p w14:paraId="715703AF">
      <w:pPr>
        <w:numPr>
          <w:ilvl w:val="0"/>
          <w:numId w:val="4"/>
        </w:numPr>
        <w:shd w:val="clear"/>
        <w:ind w:firstLine="640"/>
        <w:rPr>
          <w:rFonts w:hint="eastAsia" w:ascii="Times New Roman" w:hAnsi="Times New Roman" w:eastAsia="仿宋" w:cs="华文仿宋"/>
          <w:sz w:val="32"/>
          <w:szCs w:val="32"/>
          <w:highlight w:val="none"/>
        </w:rPr>
      </w:pPr>
      <w:r>
        <w:rPr>
          <w:rFonts w:hint="eastAsia" w:cs="华文仿宋"/>
          <w:szCs w:val="32"/>
          <w:highlight w:val="none"/>
        </w:rPr>
        <w:t>用电侧月度净合同量计算与调整</w:t>
      </w:r>
      <w:r>
        <w:rPr>
          <w:rFonts w:hint="eastAsia" w:ascii="Times New Roman" w:hAnsi="Times New Roman" w:cs="华文仿宋"/>
          <w:szCs w:val="32"/>
          <w:highlight w:val="none"/>
          <w:lang w:eastAsia="zh-CN"/>
        </w:rPr>
        <w:t>。</w:t>
      </w:r>
    </w:p>
    <w:p w14:paraId="1B9FEB0E">
      <w:pPr>
        <w:pStyle w:val="6"/>
        <w:shd w:val="clear"/>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lang w:val="en-US" w:eastAsia="zh-CN"/>
        </w:rPr>
        <w:t>一</w:t>
      </w: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rPr>
        <w:t>用电需求默认值</w:t>
      </w:r>
    </w:p>
    <w:p w14:paraId="6D8D771C">
      <w:pPr>
        <w:shd w:val="clear"/>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电力用户用电需求默认值为该用户上年度对应月份用电量，如暂无用电量的，取有用电量数据的历史最近一年对应月份用电量。售电公司用电需求默认值为其在电力交易平台中对应月份所有正式签约零售用户用电需求默认值之和。电网企业代理购电的用电需求由电网企业根据代理购电有关规定合理确定。</w:t>
      </w:r>
    </w:p>
    <w:p w14:paraId="1DCE108E">
      <w:pPr>
        <w:pStyle w:val="6"/>
        <w:shd w:val="clear"/>
        <w:rPr>
          <w:rFonts w:hint="eastAsia" w:eastAsia="仿宋"/>
          <w:highlight w:val="none"/>
          <w:lang w:eastAsia="zh-CN"/>
        </w:rPr>
      </w:pP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lang w:val="en-US" w:eastAsia="zh-CN"/>
        </w:rPr>
        <w:t>二</w:t>
      </w: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rPr>
        <w:t>用电需求调整</w:t>
      </w:r>
    </w:p>
    <w:p w14:paraId="2C180EC2">
      <w:pPr>
        <w:pStyle w:val="6"/>
        <w:shd w:val="clear"/>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电力用户可在每月最后一个工作日前通过电力交易平台调整次月用电需求。批发用户的用电需求自行负责调整，零售用户的用电需求由其签约售电公司负责调整。调整后的用电需求如不超过其历史前24个月月度用电量最大值则自动生效。如需进一步增加，</w:t>
      </w:r>
      <w:r>
        <w:rPr>
          <w:rFonts w:hint="eastAsia" w:ascii="仿宋" w:hAnsi="仿宋" w:eastAsia="仿宋" w:cs="仿宋"/>
          <w:sz w:val="32"/>
          <w:szCs w:val="32"/>
          <w:highlight w:val="none"/>
        </w:rPr>
        <w:t>则应提供供电单位受理的该用户增容、升压改造文件或用户投产计划等相关书面材料，经</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确认后生效，如材料不详或理由不足则不得通过。用电需求调减时，不得低于其当前已成交电量、尚未发</w:t>
      </w:r>
      <w:r>
        <w:rPr>
          <w:rFonts w:hint="eastAsia" w:ascii="Times New Roman" w:hAnsi="Times New Roman" w:eastAsia="仿宋" w:cs="华文仿宋"/>
          <w:sz w:val="32"/>
          <w:szCs w:val="32"/>
          <w:highlight w:val="none"/>
        </w:rPr>
        <w:t>布成交结果但已申报成功电量之和。如月内实际用电量已超过当前用电需求，电力用户可申请进一步</w:t>
      </w:r>
      <w:r>
        <w:rPr>
          <w:rFonts w:hint="eastAsia" w:ascii="Times New Roman" w:hAnsi="Times New Roman" w:eastAsia="仿宋" w:cs="华文仿宋"/>
          <w:sz w:val="32"/>
          <w:szCs w:val="32"/>
          <w:highlight w:val="none"/>
          <w:lang w:val="en-US" w:eastAsia="zh-CN"/>
        </w:rPr>
        <w:t>调减或</w:t>
      </w:r>
      <w:r>
        <w:rPr>
          <w:rFonts w:hint="eastAsia" w:ascii="Times New Roman" w:hAnsi="Times New Roman" w:eastAsia="仿宋" w:cs="华文仿宋"/>
          <w:sz w:val="32"/>
          <w:szCs w:val="32"/>
          <w:highlight w:val="none"/>
        </w:rPr>
        <w:t>调增当月用电需求2次。对拟新增投产但暂无营销户号的电力用户，在提供项目规划、审批、用电报装、双方签约零售协议等相关书面材料后，可调整增加售电公司的用电需求。</w:t>
      </w:r>
    </w:p>
    <w:p w14:paraId="0273F8BA">
      <w:pPr>
        <w:pStyle w:val="6"/>
        <w:shd w:val="clear"/>
        <w:rPr>
          <w:rFonts w:hint="eastAsia" w:eastAsia="仿宋"/>
          <w:highlight w:val="none"/>
          <w:lang w:eastAsia="zh-CN"/>
        </w:rPr>
      </w:pP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lang w:val="en-US" w:eastAsia="zh-CN"/>
        </w:rPr>
        <w:t>三</w:t>
      </w: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rPr>
        <w:t>用电需求调整风险控制</w:t>
      </w:r>
    </w:p>
    <w:p w14:paraId="182498F6">
      <w:pPr>
        <w:shd w:val="clear"/>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电力用户调整后用电需求超过其历史24个月月度用电量最大值的，应同时做出诚信交易承诺。批发交易用户用电需求预测偏差值和预测准确率纳入其交易行为信用评价，零售用户用电需求预测偏差值和预测准确率纳入其签约售电公司评价指标。批发交易用户用电需求预测偏差值超过0.</w:t>
      </w:r>
      <w:r>
        <w:rPr>
          <w:rFonts w:hint="eastAsia" w:cs="华文仿宋"/>
          <w:sz w:val="32"/>
          <w:szCs w:val="32"/>
          <w:highlight w:val="none"/>
          <w:lang w:val="en-US" w:eastAsia="zh-CN"/>
        </w:rPr>
        <w:t>5</w:t>
      </w:r>
      <w:r>
        <w:rPr>
          <w:rFonts w:hint="eastAsia" w:ascii="Times New Roman" w:hAnsi="Times New Roman" w:eastAsia="仿宋" w:cs="华文仿宋"/>
          <w:sz w:val="32"/>
          <w:szCs w:val="32"/>
          <w:highlight w:val="none"/>
        </w:rPr>
        <w:t>亿千瓦时</w:t>
      </w:r>
      <w:r>
        <w:rPr>
          <w:rFonts w:hint="eastAsia" w:cs="华文仿宋"/>
          <w:sz w:val="32"/>
          <w:szCs w:val="32"/>
          <w:highlight w:val="none"/>
          <w:lang w:val="en-US" w:eastAsia="zh-CN"/>
        </w:rPr>
        <w:t>且超过自身用电量3%</w:t>
      </w:r>
      <w:r>
        <w:rPr>
          <w:rFonts w:hint="eastAsia" w:ascii="Times New Roman" w:hAnsi="Times New Roman" w:eastAsia="仿宋" w:cs="华文仿宋"/>
          <w:sz w:val="32"/>
          <w:szCs w:val="32"/>
          <w:highlight w:val="none"/>
        </w:rPr>
        <w:t>的，应书面说明原因，出现上述情况且无正当理由累计2次及以上的，即时暂停该批发用户或售电公司（含其全部签约零售用户）用电需求调整权限3个月，期间采用默认值作为其用电需求。用电需求预测偏差值和预测准确率计算方法与发电能力相同。</w:t>
      </w:r>
    </w:p>
    <w:p w14:paraId="5427F1BB">
      <w:pPr>
        <w:pStyle w:val="6"/>
        <w:shd w:val="clear"/>
        <w:rPr>
          <w:rFonts w:hint="default" w:eastAsia="仿宋"/>
          <w:highlight w:val="none"/>
          <w:lang w:val="en-US" w:eastAsia="zh-CN"/>
        </w:rPr>
      </w:pP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lang w:val="en-US" w:eastAsia="zh-CN"/>
        </w:rPr>
        <w:t>四</w:t>
      </w: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lang w:val="en-US" w:eastAsia="zh-CN"/>
        </w:rPr>
        <w:t>发布与调整</w:t>
      </w:r>
    </w:p>
    <w:p w14:paraId="4A55DD6B">
      <w:pPr>
        <w:pStyle w:val="6"/>
        <w:shd w:val="clear"/>
        <w:rPr>
          <w:rFonts w:hint="eastAsia"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交易中心实时发布</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月度净合同量上限，</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可按规定进行发电能力、用电需求的调整，以最新的发电能力、用电需求计算月度净合同电量上限。</w:t>
      </w:r>
    </w:p>
    <w:p w14:paraId="112A3DBE">
      <w:pPr>
        <w:pStyle w:val="6"/>
        <w:shd w:val="clear"/>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lang w:val="en-US" w:eastAsia="zh-CN"/>
        </w:rPr>
        <w:t>五</w:t>
      </w:r>
      <w:r>
        <w:rPr>
          <w:rFonts w:hint="eastAsia" w:ascii="Times New Roman" w:hAnsi="Times New Roman" w:eastAsia="仿宋" w:cs="华文仿宋"/>
          <w:sz w:val="32"/>
          <w:szCs w:val="32"/>
          <w:highlight w:val="none"/>
          <w:lang w:eastAsia="zh-CN"/>
        </w:rPr>
        <w:t>）</w:t>
      </w:r>
      <w:r>
        <w:rPr>
          <w:rFonts w:hint="eastAsia" w:ascii="Times New Roman" w:hAnsi="Times New Roman" w:eastAsia="仿宋" w:cs="华文仿宋"/>
          <w:sz w:val="32"/>
          <w:szCs w:val="32"/>
          <w:highlight w:val="none"/>
        </w:rPr>
        <w:t>用户侧月度净合同量上限计算</w:t>
      </w:r>
    </w:p>
    <w:p w14:paraId="6E41A535">
      <w:pPr>
        <w:shd w:val="clear"/>
        <w:spacing w:line="560" w:lineRule="exact"/>
        <w:ind w:firstLine="640" w:firstLineChars="200"/>
        <w:rPr>
          <w:rFonts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批发交易用户（批发用户和售电公司，下同）实时获取其用电需求参与交易，批发交易用户用电需求与其在电力交易平台中对应月份用电需求（售电公司为所有正式签约电力用户用电需求之和）相关。电网企业代理购电需求为其自行预测需要通过优先发电保障和市场化采购的电量规模。具体计算公式为：</w:t>
      </w:r>
    </w:p>
    <w:p w14:paraId="50070F0E">
      <w:pPr>
        <w:shd w:val="clear"/>
        <w:spacing w:line="560" w:lineRule="exact"/>
        <w:ind w:firstLine="640" w:firstLineChars="200"/>
        <w:rPr>
          <w:rFonts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批发用户月度净合同量上限=批发用户月度用电需求</w:t>
      </w:r>
    </w:p>
    <w:p w14:paraId="6E445072">
      <w:pPr>
        <w:shd w:val="clear"/>
        <w:spacing w:line="560" w:lineRule="exact"/>
        <w:ind w:firstLine="640" w:firstLineChars="200"/>
        <w:rPr>
          <w:rFonts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售电公司月度净合同量上限=所有正式签约电力用户用电需求之和</w:t>
      </w:r>
    </w:p>
    <w:p w14:paraId="704FDFD8">
      <w:pPr>
        <w:shd w:val="clear"/>
        <w:spacing w:line="560" w:lineRule="exact"/>
        <w:ind w:firstLine="640"/>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批发用户/售电公司月度净合同量下限均为0。</w:t>
      </w:r>
    </w:p>
    <w:p w14:paraId="70BF81B4">
      <w:pPr>
        <w:numPr>
          <w:ilvl w:val="0"/>
          <w:numId w:val="4"/>
        </w:numPr>
        <w:shd w:val="clear"/>
        <w:ind w:firstLine="640"/>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日（多日）净合同量</w:t>
      </w:r>
      <w:r>
        <w:rPr>
          <w:rFonts w:hint="eastAsia" w:ascii="仿宋" w:hAnsi="仿宋" w:cs="仿宋"/>
          <w:szCs w:val="32"/>
          <w:highlight w:val="none"/>
        </w:rPr>
        <w:t>上限</w:t>
      </w:r>
      <w:r>
        <w:rPr>
          <w:rFonts w:hint="eastAsia" w:ascii="Times New Roman" w:hAnsi="Times New Roman" w:eastAsia="仿宋" w:cs="华文仿宋"/>
          <w:sz w:val="32"/>
          <w:szCs w:val="32"/>
          <w:highlight w:val="none"/>
        </w:rPr>
        <w:t>计算</w:t>
      </w:r>
      <w:r>
        <w:rPr>
          <w:rFonts w:hint="eastAsia" w:ascii="Times New Roman" w:hAnsi="Times New Roman" w:cs="华文仿宋"/>
          <w:sz w:val="32"/>
          <w:szCs w:val="32"/>
          <w:highlight w:val="none"/>
          <w:lang w:eastAsia="zh-CN"/>
        </w:rPr>
        <w:t>。</w:t>
      </w:r>
      <w:r>
        <w:rPr>
          <w:rFonts w:hint="eastAsia" w:ascii="Times New Roman" w:hAnsi="Times New Roman" w:cs="华文仿宋"/>
          <w:szCs w:val="32"/>
          <w:highlight w:val="none"/>
        </w:rPr>
        <w:t>发电企业日（多日）净合同电量不得超过其月度最大发电能力扣减当月已成交合约电量后的剩余电量除以当月剩余天数，并不超过其当日可调装机容量满发电量。发电交易单元日（多日）净合同量下限为0。批发交易用户日（多日）净合同电量不得超过其月度用电需求扣减当月已成交电量后的剩余电量除以当月剩余天数。周（多周）的净合同上限</w:t>
      </w:r>
      <w:r>
        <w:rPr>
          <w:rFonts w:hint="eastAsia" w:cs="华文仿宋"/>
          <w:szCs w:val="32"/>
          <w:highlight w:val="none"/>
          <w:lang w:val="en-US" w:eastAsia="zh-CN"/>
        </w:rPr>
        <w:t>根据</w:t>
      </w:r>
      <w:r>
        <w:rPr>
          <w:rFonts w:hint="eastAsia" w:ascii="Times New Roman" w:hAnsi="Times New Roman" w:cs="华文仿宋"/>
          <w:szCs w:val="32"/>
          <w:highlight w:val="none"/>
        </w:rPr>
        <w:t>各</w:t>
      </w:r>
      <w:r>
        <w:rPr>
          <w:rFonts w:hint="eastAsia" w:cs="华文仿宋"/>
          <w:szCs w:val="32"/>
          <w:highlight w:val="none"/>
          <w:lang w:eastAsia="zh-CN"/>
        </w:rPr>
        <w:t>日</w:t>
      </w:r>
      <w:r>
        <w:rPr>
          <w:rFonts w:hint="eastAsia" w:ascii="Times New Roman" w:hAnsi="Times New Roman" w:cs="华文仿宋"/>
          <w:szCs w:val="32"/>
          <w:highlight w:val="none"/>
        </w:rPr>
        <w:t>净合同量上限</w:t>
      </w:r>
      <w:r>
        <w:rPr>
          <w:rFonts w:hint="eastAsia" w:cs="华文仿宋"/>
          <w:szCs w:val="32"/>
          <w:highlight w:val="none"/>
          <w:lang w:val="en-US" w:eastAsia="zh-CN"/>
        </w:rPr>
        <w:t>确定</w:t>
      </w:r>
      <w:r>
        <w:rPr>
          <w:rFonts w:hint="eastAsia" w:ascii="Times New Roman" w:hAnsi="Times New Roman" w:cs="华文仿宋"/>
          <w:szCs w:val="32"/>
          <w:highlight w:val="none"/>
        </w:rPr>
        <w:t>。</w:t>
      </w:r>
    </w:p>
    <w:p w14:paraId="4AF3DC8F">
      <w:pPr>
        <w:numPr>
          <w:ilvl w:val="0"/>
          <w:numId w:val="4"/>
        </w:numPr>
        <w:shd w:val="clear"/>
        <w:ind w:firstLine="640"/>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月度累计</w:t>
      </w:r>
      <w:r>
        <w:rPr>
          <w:rFonts w:hint="eastAsia" w:ascii="Times New Roman" w:hAnsi="Times New Roman" w:cs="华文仿宋"/>
          <w:szCs w:val="32"/>
          <w:highlight w:val="none"/>
        </w:rPr>
        <w:t>交易量</w:t>
      </w:r>
      <w:r>
        <w:rPr>
          <w:rFonts w:hint="eastAsia" w:ascii="Times New Roman" w:hAnsi="Times New Roman" w:eastAsia="仿宋" w:cs="华文仿宋"/>
          <w:sz w:val="32"/>
          <w:szCs w:val="32"/>
          <w:highlight w:val="none"/>
        </w:rPr>
        <w:t>约束</w:t>
      </w:r>
      <w:r>
        <w:rPr>
          <w:rFonts w:hint="eastAsia" w:ascii="Times New Roman" w:hAnsi="Times New Roman" w:cs="华文仿宋"/>
          <w:sz w:val="32"/>
          <w:szCs w:val="32"/>
          <w:highlight w:val="none"/>
          <w:lang w:eastAsia="zh-CN"/>
        </w:rPr>
        <w:t>。</w:t>
      </w:r>
      <w:r>
        <w:rPr>
          <w:rFonts w:hint="eastAsia" w:ascii="Times New Roman" w:hAnsi="Times New Roman" w:eastAsia="仿宋" w:cs="华文仿宋"/>
          <w:color w:val="000000" w:themeColor="text1"/>
          <w:sz w:val="32"/>
          <w:szCs w:val="32"/>
          <w:highlight w:val="none"/>
          <w14:textFill>
            <w14:solidFill>
              <w14:schemeClr w14:val="tx1"/>
            </w14:solidFill>
          </w14:textFill>
        </w:rPr>
        <w:t>月度累计交易量是指</w:t>
      </w: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买入和卖出标的月合同电量的绝对值之和</w:t>
      </w:r>
      <w:r>
        <w:rPr>
          <w:rFonts w:ascii="Times New Roman" w:hAnsi="Times New Roman" w:eastAsia="仿宋" w:cs="华文仿宋"/>
          <w:color w:val="000000" w:themeColor="text1"/>
          <w:sz w:val="32"/>
          <w:szCs w:val="32"/>
          <w:highlight w:val="none"/>
          <w14:textFill>
            <w14:solidFill>
              <w14:schemeClr w14:val="tx1"/>
            </w14:solidFill>
          </w14:textFill>
        </w:rPr>
        <w:t>。</w:t>
      </w:r>
    </w:p>
    <w:p w14:paraId="6C96D734">
      <w:pPr>
        <w:numPr>
          <w:ilvl w:val="0"/>
          <w:numId w:val="4"/>
        </w:numPr>
        <w:shd w:val="clear"/>
        <w:spacing w:line="240" w:lineRule="auto"/>
        <w:ind w:firstLine="640" w:firstLineChars="0"/>
        <w:rPr>
          <w:rFonts w:hint="eastAsia" w:ascii="Times New Roman" w:hAnsi="Times New Roman" w:eastAsia="仿宋" w:cs="华文仿宋"/>
          <w:color w:val="auto"/>
          <w:sz w:val="32"/>
          <w:szCs w:val="32"/>
          <w:highlight w:val="none"/>
          <w:vertAlign w:val="baseline"/>
        </w:rPr>
      </w:pPr>
      <w:r>
        <w:rPr>
          <w:rFonts w:hint="eastAsia" w:ascii="Times New Roman" w:hAnsi="Times New Roman" w:eastAsia="仿宋" w:cs="华文仿宋"/>
          <w:color w:val="auto"/>
          <w:sz w:val="32"/>
          <w:szCs w:val="32"/>
          <w:highlight w:val="none"/>
        </w:rPr>
        <w:t>月度累计交易量上限</w:t>
      </w:r>
    </w:p>
    <w:p w14:paraId="48F2D487">
      <w:pPr>
        <w:numPr>
          <w:ilvl w:val="-1"/>
          <w:numId w:val="0"/>
        </w:numPr>
        <w:shd w:val="clear"/>
        <w:spacing w:line="240" w:lineRule="auto"/>
        <w:ind w:firstLine="640" w:firstLineChars="200"/>
        <w:rPr>
          <w:rFonts w:hint="default" w:ascii="Times New Roman" w:hAnsi="Times New Roman" w:eastAsia="仿宋" w:cs="华文仿宋"/>
          <w:color w:val="auto"/>
          <w:sz w:val="32"/>
          <w:szCs w:val="32"/>
          <w:highlight w:val="none"/>
          <w:vertAlign w:val="baseline"/>
          <w:lang w:val="en-US" w:eastAsia="zh-CN"/>
        </w:rPr>
      </w:pPr>
      <w:r>
        <w:rPr>
          <w:rFonts w:hint="eastAsia" w:ascii="Times New Roman" w:hAnsi="Times New Roman" w:eastAsia="仿宋" w:cs="华文仿宋"/>
          <w:color w:val="auto"/>
          <w:sz w:val="32"/>
          <w:szCs w:val="32"/>
          <w:highlight w:val="none"/>
        </w:rPr>
        <w:t>发电交易单元月度累计交易量上限=月度净合同量上限</w:t>
      </w:r>
      <w:r>
        <w:rPr>
          <w:rFonts w:hint="eastAsia" w:cs="华文仿宋"/>
          <w:color w:val="auto"/>
          <w:szCs w:val="32"/>
          <w:highlight w:val="none"/>
          <w:lang w:val="en-US" w:eastAsia="zh-CN"/>
        </w:rPr>
        <w:t>×K，其中K暂取值为1.1。</w:t>
      </w:r>
    </w:p>
    <w:p w14:paraId="75788A31">
      <w:pPr>
        <w:shd w:val="clear"/>
        <w:spacing w:line="560" w:lineRule="exact"/>
        <w:ind w:firstLine="640" w:firstLineChars="200"/>
        <w:rPr>
          <w:rFonts w:ascii="Times New Roman" w:hAnsi="Times New Roman" w:eastAsia="仿宋" w:cs="华文仿宋"/>
          <w:color w:val="000000" w:themeColor="text1"/>
          <w:sz w:val="32"/>
          <w:szCs w:val="32"/>
          <w:highlight w:val="none"/>
          <w:vertAlign w:val="subscript"/>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用户侧月度累计交易量上限</w:t>
      </w:r>
      <w:r>
        <w:rPr>
          <w:rFonts w:ascii="Times New Roman" w:hAnsi="Times New Roman" w:eastAsia="仿宋" w:cs="华文仿宋"/>
          <w:color w:val="000000" w:themeColor="text1"/>
          <w:sz w:val="32"/>
          <w:szCs w:val="32"/>
          <w:highlight w:val="none"/>
          <w14:textFill>
            <w14:solidFill>
              <w14:schemeClr w14:val="tx1"/>
            </w14:solidFill>
          </w14:textFill>
        </w:rPr>
        <w:t>=</w:t>
      </w:r>
      <w:r>
        <w:rPr>
          <w:rFonts w:hint="eastAsia" w:ascii="Times New Roman" w:hAnsi="Times New Roman" w:eastAsia="仿宋" w:cs="华文仿宋"/>
          <w:color w:val="000000" w:themeColor="text1"/>
          <w:sz w:val="32"/>
          <w:szCs w:val="32"/>
          <w:highlight w:val="none"/>
          <w14:textFill>
            <w14:solidFill>
              <w14:schemeClr w14:val="tx1"/>
            </w14:solidFill>
          </w14:textFill>
        </w:rPr>
        <w:t>月度净合同量上限</w:t>
      </w:r>
      <w:r>
        <w:rPr>
          <w:rFonts w:hint="eastAsia" w:cs="华文仿宋"/>
          <w:color w:val="auto"/>
          <w:szCs w:val="32"/>
          <w:highlight w:val="none"/>
          <w:lang w:val="en-US" w:eastAsia="zh-CN"/>
        </w:rPr>
        <w:t>×K，其中K暂取值为1.1。</w:t>
      </w:r>
    </w:p>
    <w:p w14:paraId="2251E64B">
      <w:pPr>
        <w:shd w:val="clear"/>
        <w:spacing w:line="560" w:lineRule="exact"/>
        <w:ind w:firstLine="640"/>
        <w:rPr>
          <w:rFonts w:hint="eastAsia" w:ascii="Times New Roman" w:hAnsi="Times New Roman" w:eastAsia="仿宋" w:cs="华文仿宋"/>
          <w:sz w:val="32"/>
          <w:szCs w:val="32"/>
          <w:highlight w:val="none"/>
        </w:rPr>
      </w:pPr>
      <w:r>
        <w:rPr>
          <w:rFonts w:hint="eastAsia" w:cs="华文仿宋"/>
          <w:color w:val="000000" w:themeColor="text1"/>
          <w:sz w:val="32"/>
          <w:szCs w:val="32"/>
          <w:highlight w:val="none"/>
          <w:lang w:val="en-US" w:eastAsia="zh-CN"/>
          <w14:textFill>
            <w14:solidFill>
              <w14:schemeClr w14:val="tx1"/>
            </w14:solidFill>
          </w14:textFill>
        </w:rPr>
        <w:t>电力交易机构</w:t>
      </w:r>
      <w:r>
        <w:rPr>
          <w:rFonts w:hint="eastAsia" w:ascii="Times New Roman" w:hAnsi="Times New Roman" w:eastAsia="仿宋" w:cs="华文仿宋"/>
          <w:color w:val="000000" w:themeColor="text1"/>
          <w:sz w:val="32"/>
          <w:szCs w:val="32"/>
          <w:highlight w:val="none"/>
          <w14:textFill>
            <w14:solidFill>
              <w14:schemeClr w14:val="tx1"/>
            </w14:solidFill>
          </w14:textFill>
        </w:rPr>
        <w:t>实时发布</w:t>
      </w:r>
      <w:r>
        <w:rPr>
          <w:rFonts w:hint="eastAsia" w:ascii="Times New Roman" w:hAnsi="Times New Roman" w:eastAsia="仿宋"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月度累计交易量上限。</w:t>
      </w:r>
    </w:p>
    <w:p w14:paraId="6DEE4FB3">
      <w:pPr>
        <w:numPr>
          <w:ilvl w:val="0"/>
          <w:numId w:val="4"/>
        </w:numPr>
        <w:shd w:val="clear"/>
        <w:ind w:firstLine="640"/>
        <w:rPr>
          <w:rFonts w:hint="eastAsia" w:ascii="Times New Roman" w:hAnsi="Times New Roman" w:eastAsia="仿宋" w:cs="华文仿宋"/>
          <w:sz w:val="32"/>
          <w:szCs w:val="32"/>
          <w:highlight w:val="none"/>
        </w:rPr>
      </w:pPr>
      <w:r>
        <w:rPr>
          <w:rFonts w:hint="eastAsia" w:ascii="Times New Roman" w:hAnsi="Times New Roman" w:eastAsia="仿宋" w:cs="华文仿宋"/>
          <w:sz w:val="32"/>
          <w:szCs w:val="32"/>
          <w:highlight w:val="none"/>
        </w:rPr>
        <w:t>可申报电量约束</w:t>
      </w:r>
      <w:r>
        <w:rPr>
          <w:rFonts w:hint="eastAsia" w:ascii="Times New Roman" w:hAnsi="Times New Roman" w:cs="华文仿宋"/>
          <w:sz w:val="32"/>
          <w:szCs w:val="32"/>
          <w:highlight w:val="none"/>
          <w:lang w:eastAsia="zh-CN"/>
        </w:rPr>
        <w:t>。</w:t>
      </w:r>
    </w:p>
    <w:p w14:paraId="7F6A7CF4">
      <w:pPr>
        <w:numPr>
          <w:ilvl w:val="0"/>
          <w:numId w:val="10"/>
        </w:numPr>
        <w:shd w:val="clear"/>
        <w:spacing w:line="560" w:lineRule="exact"/>
        <w:ind w:firstLine="420" w:firstLineChars="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应在可申报电量额度范围内参加中长期市场</w:t>
      </w:r>
      <w:r>
        <w:rPr>
          <w:rFonts w:ascii="Times New Roman" w:hAnsi="Times New Roman" w:eastAsia="仿宋" w:cs="华文仿宋"/>
          <w:color w:val="000000" w:themeColor="text1"/>
          <w:sz w:val="32"/>
          <w:szCs w:val="32"/>
          <w:highlight w:val="none"/>
          <w14:textFill>
            <w14:solidFill>
              <w14:schemeClr w14:val="tx1"/>
            </w14:solidFill>
          </w14:textFill>
        </w:rPr>
        <w:t>交易</w:t>
      </w:r>
      <w:r>
        <w:rPr>
          <w:rFonts w:hint="eastAsia" w:ascii="Times New Roman" w:hAnsi="Times New Roman" w:eastAsia="仿宋" w:cs="华文仿宋"/>
          <w:color w:val="000000" w:themeColor="text1"/>
          <w:sz w:val="32"/>
          <w:szCs w:val="32"/>
          <w:highlight w:val="none"/>
          <w14:textFill>
            <w14:solidFill>
              <w14:schemeClr w14:val="tx1"/>
            </w14:solidFill>
          </w14:textFill>
        </w:rPr>
        <w:t>。</w:t>
      </w:r>
    </w:p>
    <w:p w14:paraId="5BF245A1">
      <w:pPr>
        <w:numPr>
          <w:ilvl w:val="0"/>
          <w:numId w:val="10"/>
        </w:numPr>
        <w:shd w:val="clear"/>
        <w:spacing w:line="560" w:lineRule="exact"/>
        <w:ind w:firstLine="420" w:firstLineChars="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交易中心</w:t>
      </w:r>
      <w:r>
        <w:rPr>
          <w:rFonts w:ascii="Times New Roman" w:hAnsi="Times New Roman" w:eastAsia="仿宋" w:cs="华文仿宋"/>
          <w:color w:val="000000" w:themeColor="text1"/>
          <w:sz w:val="32"/>
          <w:szCs w:val="32"/>
          <w:highlight w:val="none"/>
          <w14:textFill>
            <w14:solidFill>
              <w14:schemeClr w14:val="tx1"/>
            </w14:solidFill>
          </w14:textFill>
        </w:rPr>
        <w:t>根据</w:t>
      </w:r>
      <w:r>
        <w:rPr>
          <w:rFonts w:hint="eastAsia" w:cs="华文仿宋"/>
          <w:color w:val="000000" w:themeColor="text1"/>
          <w:sz w:val="32"/>
          <w:szCs w:val="32"/>
          <w:highlight w:val="none"/>
          <w:lang w:eastAsia="zh-CN"/>
          <w14:textFill>
            <w14:solidFill>
              <w14:schemeClr w14:val="tx1"/>
            </w14:solidFill>
          </w14:textFill>
        </w:rPr>
        <w:t>经营主体</w:t>
      </w:r>
      <w:r>
        <w:rPr>
          <w:rFonts w:ascii="Times New Roman" w:hAnsi="Times New Roman" w:eastAsia="仿宋" w:cs="华文仿宋"/>
          <w:color w:val="000000" w:themeColor="text1"/>
          <w:sz w:val="32"/>
          <w:szCs w:val="32"/>
          <w:highlight w:val="none"/>
          <w14:textFill>
            <w14:solidFill>
              <w14:schemeClr w14:val="tx1"/>
            </w14:solidFill>
          </w14:textFill>
        </w:rPr>
        <w:t>净合同量上限</w:t>
      </w:r>
      <w:r>
        <w:rPr>
          <w:rFonts w:hint="eastAsia" w:cs="华文仿宋"/>
          <w:color w:val="000000" w:themeColor="text1"/>
          <w:sz w:val="32"/>
          <w:szCs w:val="32"/>
          <w:highlight w:val="none"/>
          <w:lang w:val="en-US" w:eastAsia="zh-CN"/>
          <w14:textFill>
            <w14:solidFill>
              <w14:schemeClr w14:val="tx1"/>
            </w14:solidFill>
          </w14:textFill>
        </w:rPr>
        <w:t>以及</w:t>
      </w:r>
      <w:r>
        <w:rPr>
          <w:rFonts w:ascii="Times New Roman" w:hAnsi="Times New Roman" w:eastAsia="仿宋" w:cs="华文仿宋"/>
          <w:color w:val="000000" w:themeColor="text1"/>
          <w:sz w:val="32"/>
          <w:szCs w:val="32"/>
          <w:highlight w:val="none"/>
          <w14:textFill>
            <w14:solidFill>
              <w14:schemeClr w14:val="tx1"/>
            </w14:solidFill>
          </w14:textFill>
        </w:rPr>
        <w:t>累计交易量上限</w:t>
      </w:r>
      <w:r>
        <w:rPr>
          <w:rFonts w:hint="eastAsia" w:ascii="Times New Roman" w:hAnsi="Times New Roman" w:eastAsia="仿宋" w:cs="华文仿宋"/>
          <w:color w:val="000000" w:themeColor="text1"/>
          <w:sz w:val="32"/>
          <w:szCs w:val="32"/>
          <w:highlight w:val="none"/>
          <w14:textFill>
            <w14:solidFill>
              <w14:schemeClr w14:val="tx1"/>
            </w14:solidFill>
          </w14:textFill>
        </w:rPr>
        <w:t>，</w:t>
      </w:r>
      <w:r>
        <w:rPr>
          <w:rFonts w:hint="eastAsia" w:cs="华文仿宋"/>
          <w:color w:val="000000" w:themeColor="text1"/>
          <w:sz w:val="32"/>
          <w:szCs w:val="32"/>
          <w:highlight w:val="none"/>
          <w:lang w:val="en-US" w:eastAsia="zh-CN"/>
          <w14:textFill>
            <w14:solidFill>
              <w14:schemeClr w14:val="tx1"/>
            </w14:solidFill>
          </w14:textFill>
        </w:rPr>
        <w:t>确定</w:t>
      </w:r>
      <w:r>
        <w:rPr>
          <w:rFonts w:hint="eastAsia" w:ascii="Times New Roman" w:hAnsi="Times New Roman" w:eastAsia="仿宋" w:cs="华文仿宋"/>
          <w:color w:val="000000" w:themeColor="text1"/>
          <w:sz w:val="32"/>
          <w:szCs w:val="32"/>
          <w:highlight w:val="none"/>
          <w14:textFill>
            <w14:solidFill>
              <w14:schemeClr w14:val="tx1"/>
            </w14:solidFill>
          </w14:textFill>
        </w:rPr>
        <w:t>并发布</w:t>
      </w: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可申报电量额度。已申报未成交电量视同已成交电量纳入可申报电量计算，交易结束后根据交易结果更新。</w:t>
      </w:r>
    </w:p>
    <w:p w14:paraId="6F3FAA74">
      <w:pPr>
        <w:numPr>
          <w:ilvl w:val="0"/>
          <w:numId w:val="10"/>
        </w:numPr>
        <w:shd w:val="clear"/>
        <w:spacing w:line="560" w:lineRule="exact"/>
        <w:ind w:firstLine="420" w:firstLineChars="0"/>
        <w:rPr>
          <w:rFonts w:hint="eastAsia" w:ascii="Times New Roman" w:hAnsi="Times New Roman" w:eastAsia="仿宋" w:cs="华文仿宋"/>
          <w:color w:val="000000" w:themeColor="text1"/>
          <w:sz w:val="32"/>
          <w:szCs w:val="32"/>
          <w:highlight w:val="none"/>
          <w14:textFill>
            <w14:solidFill>
              <w14:schemeClr w14:val="tx1"/>
            </w14:solidFill>
          </w14:textFill>
        </w:rPr>
      </w:pPr>
      <w:r>
        <w:rPr>
          <w:rFonts w:hint="eastAsia" w:cs="华文仿宋"/>
          <w:color w:val="000000" w:themeColor="text1"/>
          <w:sz w:val="32"/>
          <w:szCs w:val="32"/>
          <w:highlight w:val="none"/>
          <w:lang w:eastAsia="zh-CN"/>
          <w14:textFill>
            <w14:solidFill>
              <w14:schemeClr w14:val="tx1"/>
            </w14:solidFill>
          </w14:textFill>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在进行交易申报时，月以上合同电量分解至月度后须满足各月可申报电量额度，跨月合同电量按日所属月份计入月度合同电量后须满足月度可申报电量额度。</w:t>
      </w:r>
    </w:p>
    <w:p w14:paraId="0C106D4A">
      <w:pPr>
        <w:pStyle w:val="4"/>
        <w:shd w:val="clear"/>
        <w:rPr>
          <w:rFonts w:ascii="仿宋" w:hAnsi="仿宋" w:eastAsia="仿宋" w:cs="仿宋"/>
          <w:highlight w:val="none"/>
        </w:rPr>
      </w:pPr>
      <w:r>
        <w:rPr>
          <w:rFonts w:hint="eastAsia" w:cs="Times New Roman"/>
          <w:highlight w:val="none"/>
        </w:rPr>
        <w:t>第</w:t>
      </w:r>
      <w:r>
        <w:rPr>
          <w:rFonts w:hint="eastAsia" w:cs="Times New Roman"/>
          <w:highlight w:val="none"/>
          <w:lang w:val="en-US" w:eastAsia="zh-CN"/>
        </w:rPr>
        <w:t>六</w:t>
      </w:r>
      <w:r>
        <w:rPr>
          <w:rFonts w:hint="eastAsia" w:cs="Times New Roman"/>
          <w:highlight w:val="none"/>
        </w:rPr>
        <w:t>节  交易申报数据合理性校验</w:t>
      </w:r>
    </w:p>
    <w:p w14:paraId="22360889">
      <w:pPr>
        <w:numPr>
          <w:ilvl w:val="0"/>
          <w:numId w:val="4"/>
        </w:numPr>
        <w:shd w:val="clear"/>
        <w:ind w:firstLine="640"/>
        <w:rPr>
          <w:highlight w:val="none"/>
        </w:rPr>
      </w:pPr>
      <w:r>
        <w:rPr>
          <w:rFonts w:hint="default" w:ascii="Times New Roman" w:hAnsi="Times New Roman" w:eastAsia="仿宋" w:cs="宋体"/>
          <w:sz w:val="32"/>
          <w:szCs w:val="24"/>
          <w:highlight w:val="none"/>
        </w:rPr>
        <w:t>交易申报数据合理性校验内容包括发电能力、用电需求等校验。</w:t>
      </w:r>
    </w:p>
    <w:p w14:paraId="77C9AAEA">
      <w:pPr>
        <w:numPr>
          <w:ilvl w:val="0"/>
          <w:numId w:val="4"/>
        </w:numPr>
        <w:shd w:val="clear"/>
        <w:ind w:firstLine="640"/>
        <w:rPr>
          <w:rFonts w:hint="default" w:ascii="Times New Roman" w:hAnsi="Times New Roman" w:eastAsia="仿宋" w:cs="宋体"/>
          <w:sz w:val="32"/>
          <w:szCs w:val="24"/>
          <w:highlight w:val="none"/>
        </w:rPr>
      </w:pPr>
      <w:r>
        <w:rPr>
          <w:rFonts w:hint="default" w:ascii="Times New Roman" w:hAnsi="Times New Roman" w:eastAsia="仿宋" w:cs="宋体"/>
          <w:sz w:val="32"/>
          <w:szCs w:val="24"/>
          <w:highlight w:val="none"/>
        </w:rPr>
        <w:t>发电能力校验。发电企业</w:t>
      </w:r>
      <w:r>
        <w:rPr>
          <w:rFonts w:hint="eastAsia"/>
          <w:highlight w:val="none"/>
        </w:rPr>
        <w:t>售电</w:t>
      </w:r>
      <w:r>
        <w:rPr>
          <w:rFonts w:hint="eastAsia"/>
          <w:highlight w:val="none"/>
          <w:lang w:val="en-US" w:eastAsia="zh-CN"/>
        </w:rPr>
        <w:t>的</w:t>
      </w:r>
      <w:r>
        <w:rPr>
          <w:rFonts w:hint="default" w:ascii="Times New Roman" w:hAnsi="Times New Roman" w:eastAsia="仿宋" w:cs="宋体"/>
          <w:sz w:val="32"/>
          <w:szCs w:val="24"/>
          <w:highlight w:val="none"/>
        </w:rPr>
        <w:t>申报电量不得超过其交易周期净合同量上限扣减优先发电计划电量、当前已成交电量、尚未发布成交结果但已申报成功电量后的剩余发电能力。</w:t>
      </w:r>
      <w:r>
        <w:rPr>
          <w:rFonts w:hint="eastAsia"/>
          <w:highlight w:val="none"/>
        </w:rPr>
        <w:t>购电量不得超过其售出电能量</w:t>
      </w:r>
      <w:r>
        <w:rPr>
          <w:rFonts w:hint="eastAsia"/>
          <w:highlight w:val="none"/>
          <w:lang w:val="en-US" w:eastAsia="zh-CN"/>
        </w:rPr>
        <w:t>合约</w:t>
      </w:r>
      <w:r>
        <w:rPr>
          <w:rFonts w:hint="eastAsia"/>
          <w:highlight w:val="none"/>
        </w:rPr>
        <w:t>的净值（指多次售出、购入相互抵消后的净售电量）</w:t>
      </w:r>
      <w:r>
        <w:rPr>
          <w:rFonts w:hint="eastAsia"/>
          <w:highlight w:val="none"/>
          <w:lang w:eastAsia="zh-CN"/>
        </w:rPr>
        <w:t>。</w:t>
      </w:r>
    </w:p>
    <w:p w14:paraId="63D5A436">
      <w:pPr>
        <w:numPr>
          <w:ilvl w:val="0"/>
          <w:numId w:val="4"/>
        </w:numPr>
        <w:shd w:val="clear"/>
        <w:ind w:firstLine="640"/>
        <w:rPr>
          <w:rFonts w:hint="default" w:ascii="Times New Roman" w:hAnsi="Times New Roman" w:eastAsia="仿宋" w:cs="宋体"/>
          <w:sz w:val="32"/>
          <w:szCs w:val="24"/>
          <w:highlight w:val="none"/>
        </w:rPr>
      </w:pPr>
      <w:r>
        <w:rPr>
          <w:rFonts w:hint="default" w:ascii="Times New Roman" w:hAnsi="Times New Roman" w:eastAsia="仿宋" w:cs="宋体"/>
          <w:sz w:val="32"/>
          <w:szCs w:val="24"/>
          <w:highlight w:val="none"/>
        </w:rPr>
        <w:t>用电需求校验。批发交易用户</w:t>
      </w:r>
      <w:r>
        <w:rPr>
          <w:rFonts w:hint="eastAsia" w:cs="宋体"/>
          <w:sz w:val="32"/>
          <w:szCs w:val="24"/>
          <w:highlight w:val="none"/>
          <w:lang w:val="en-US" w:eastAsia="zh-CN"/>
        </w:rPr>
        <w:t>购电</w:t>
      </w:r>
      <w:r>
        <w:rPr>
          <w:rFonts w:hint="default" w:ascii="Times New Roman" w:hAnsi="Times New Roman" w:eastAsia="仿宋" w:cs="宋体"/>
          <w:sz w:val="32"/>
          <w:szCs w:val="24"/>
          <w:highlight w:val="none"/>
        </w:rPr>
        <w:t>申报电量不得超过其交易周期净合同量上限扣减当前已成交电量、尚未发布成交结果但已申报成功电量后的剩余用电需求。</w:t>
      </w:r>
      <w:r>
        <w:rPr>
          <w:rFonts w:hint="eastAsia"/>
          <w:highlight w:val="none"/>
        </w:rPr>
        <w:t>售电量不得超过其购入电能量</w:t>
      </w:r>
      <w:r>
        <w:rPr>
          <w:rFonts w:hint="eastAsia"/>
          <w:highlight w:val="none"/>
          <w:lang w:val="en-US" w:eastAsia="zh-CN"/>
        </w:rPr>
        <w:t>合约</w:t>
      </w:r>
      <w:r>
        <w:rPr>
          <w:rFonts w:hint="eastAsia"/>
          <w:highlight w:val="none"/>
        </w:rPr>
        <w:t>的净值（指多次购入、售出相互抵消后的净购电量）</w:t>
      </w:r>
      <w:r>
        <w:rPr>
          <w:rFonts w:hint="eastAsia"/>
          <w:highlight w:val="none"/>
          <w:lang w:eastAsia="zh-CN"/>
        </w:rPr>
        <w:t>。</w:t>
      </w:r>
    </w:p>
    <w:p w14:paraId="2EB32C0B">
      <w:pPr>
        <w:numPr>
          <w:ilvl w:val="0"/>
          <w:numId w:val="4"/>
        </w:numPr>
        <w:shd w:val="clear"/>
        <w:ind w:firstLine="640"/>
        <w:rPr>
          <w:rFonts w:hint="default" w:ascii="Times New Roman" w:hAnsi="Times New Roman" w:eastAsia="仿宋" w:cs="宋体"/>
          <w:sz w:val="32"/>
          <w:szCs w:val="24"/>
          <w:highlight w:val="none"/>
        </w:rPr>
      </w:pPr>
      <w:r>
        <w:rPr>
          <w:rFonts w:hint="default" w:ascii="Times New Roman" w:hAnsi="Times New Roman" w:eastAsia="仿宋" w:cs="宋体"/>
          <w:sz w:val="32"/>
          <w:szCs w:val="24"/>
          <w:highlight w:val="none"/>
        </w:rPr>
        <w:t>开展申报数据合理性校验时，按照批发交易用户、发电企业的顺序依次开展。由未通过合理性校验的</w:t>
      </w:r>
      <w:r>
        <w:rPr>
          <w:rFonts w:hint="eastAsia" w:cs="宋体"/>
          <w:sz w:val="32"/>
          <w:szCs w:val="24"/>
          <w:highlight w:val="none"/>
          <w:lang w:eastAsia="zh-CN"/>
        </w:rPr>
        <w:t>经营主体</w:t>
      </w:r>
      <w:r>
        <w:rPr>
          <w:rFonts w:hint="default" w:ascii="Times New Roman" w:hAnsi="Times New Roman" w:eastAsia="仿宋" w:cs="宋体"/>
          <w:sz w:val="32"/>
          <w:szCs w:val="24"/>
          <w:highlight w:val="none"/>
        </w:rPr>
        <w:t>在规定时间内填写申报电量削减方案，削减方案涉及到的</w:t>
      </w:r>
      <w:r>
        <w:rPr>
          <w:rFonts w:hint="eastAsia" w:cs="宋体"/>
          <w:sz w:val="32"/>
          <w:szCs w:val="24"/>
          <w:highlight w:val="none"/>
          <w:lang w:eastAsia="zh-CN"/>
        </w:rPr>
        <w:t>经营主体</w:t>
      </w:r>
      <w:r>
        <w:rPr>
          <w:rFonts w:hint="default" w:ascii="Times New Roman" w:hAnsi="Times New Roman" w:eastAsia="仿宋" w:cs="宋体"/>
          <w:sz w:val="32"/>
          <w:szCs w:val="24"/>
          <w:highlight w:val="none"/>
        </w:rPr>
        <w:t>在规定时间内全部完成确认后，按削减方案进行申报电量削减，否则按照申报电量等比例原则同步削减交易双方的申报电量，直至通过申报数据合理性校验。</w:t>
      </w:r>
    </w:p>
    <w:p w14:paraId="3193F1B7">
      <w:pPr>
        <w:numPr>
          <w:ilvl w:val="0"/>
          <w:numId w:val="4"/>
        </w:numPr>
        <w:ind w:firstLine="640"/>
        <w:rPr>
          <w:rFonts w:hint="default"/>
          <w:highlight w:val="none"/>
        </w:rPr>
      </w:pPr>
      <w:r>
        <w:rPr>
          <w:rFonts w:hint="eastAsia" w:ascii="Times New Roman" w:hAnsi="Times New Roman" w:eastAsia="仿宋" w:cs="华文仿宋"/>
          <w:color w:val="000000" w:themeColor="text1"/>
          <w:sz w:val="32"/>
          <w:szCs w:val="32"/>
          <w:highlight w:val="none"/>
          <w14:textFill>
            <w14:solidFill>
              <w14:schemeClr w14:val="tx1"/>
            </w14:solidFill>
          </w14:textFill>
        </w:rPr>
        <w:t>交易申报最小交易电量为1MWh、基本单位电量为0.001MWh，最小价格单位为0.01元/MWh。</w:t>
      </w:r>
    </w:p>
    <w:p w14:paraId="6F3C7C46">
      <w:pPr>
        <w:pStyle w:val="4"/>
        <w:shd w:val="clear"/>
        <w:rPr>
          <w:rFonts w:ascii="仿宋" w:hAnsi="仿宋" w:eastAsia="仿宋" w:cs="仿宋"/>
          <w:highlight w:val="none"/>
        </w:rPr>
      </w:pPr>
      <w:r>
        <w:rPr>
          <w:rFonts w:hint="eastAsia" w:cs="Times New Roman"/>
          <w:highlight w:val="none"/>
        </w:rPr>
        <w:t>第</w:t>
      </w:r>
      <w:r>
        <w:rPr>
          <w:rFonts w:hint="eastAsia" w:cs="Times New Roman"/>
          <w:highlight w:val="none"/>
          <w:lang w:val="en-US" w:eastAsia="zh-CN"/>
        </w:rPr>
        <w:t>七</w:t>
      </w:r>
      <w:r>
        <w:rPr>
          <w:rFonts w:hint="eastAsia" w:cs="Times New Roman"/>
          <w:highlight w:val="none"/>
        </w:rPr>
        <w:t>节  偏差电量处理机制</w:t>
      </w:r>
    </w:p>
    <w:p w14:paraId="4AABCB66">
      <w:pPr>
        <w:numPr>
          <w:ilvl w:val="0"/>
          <w:numId w:val="4"/>
        </w:numPr>
        <w:shd w:val="clear"/>
        <w:ind w:firstLine="640"/>
        <w:rPr>
          <w:rFonts w:ascii="仿宋" w:hAnsi="仿宋" w:cs="仿宋"/>
          <w:szCs w:val="32"/>
          <w:highlight w:val="none"/>
        </w:rPr>
      </w:pPr>
      <w:r>
        <w:rPr>
          <w:rFonts w:hint="eastAsia" w:ascii="仿宋" w:hAnsi="仿宋" w:cs="仿宋"/>
          <w:szCs w:val="32"/>
          <w:highlight w:val="none"/>
        </w:rPr>
        <w:t>允许发用双方在协商一致的前提下，在双边协商交易申报截止前</w:t>
      </w:r>
      <w:r>
        <w:rPr>
          <w:rFonts w:ascii="仿宋" w:hAnsi="仿宋" w:cs="仿宋"/>
          <w:szCs w:val="32"/>
          <w:highlight w:val="none"/>
        </w:rPr>
        <w:t>进行动态调整</w:t>
      </w:r>
      <w:r>
        <w:rPr>
          <w:rFonts w:hint="eastAsia" w:ascii="仿宋" w:hAnsi="仿宋" w:cs="仿宋"/>
          <w:szCs w:val="32"/>
          <w:highlight w:val="none"/>
        </w:rPr>
        <w:t>。鼓励</w:t>
      </w:r>
      <w:r>
        <w:rPr>
          <w:rFonts w:hint="eastAsia" w:ascii="仿宋" w:hAnsi="仿宋" w:cs="仿宋"/>
          <w:szCs w:val="32"/>
          <w:highlight w:val="none"/>
          <w:lang w:eastAsia="zh-CN"/>
        </w:rPr>
        <w:t>经营主体</w:t>
      </w:r>
      <w:r>
        <w:rPr>
          <w:rFonts w:hint="eastAsia" w:ascii="仿宋" w:hAnsi="仿宋" w:cs="仿宋"/>
          <w:szCs w:val="32"/>
          <w:highlight w:val="none"/>
        </w:rPr>
        <w:t>通过月</w:t>
      </w:r>
      <w:r>
        <w:rPr>
          <w:rFonts w:hint="eastAsia"/>
          <w:spacing w:val="-17"/>
          <w:highlight w:val="none"/>
        </w:rPr>
        <w:t>内（多日）交易实现月度发用电计划调整，减少合同执行偏差。</w:t>
      </w:r>
    </w:p>
    <w:p w14:paraId="6F9451FC">
      <w:pPr>
        <w:numPr>
          <w:ilvl w:val="0"/>
          <w:numId w:val="4"/>
        </w:numPr>
        <w:shd w:val="clear"/>
        <w:spacing w:line="560" w:lineRule="exact"/>
        <w:ind w:left="0" w:firstLine="480" w:firstLineChars="150"/>
        <w:rPr>
          <w:rFonts w:hint="eastAsia" w:ascii="仿宋" w:hAnsi="仿宋" w:eastAsia="仿宋" w:cstheme="minorBidi"/>
          <w:sz w:val="32"/>
          <w:szCs w:val="32"/>
          <w:highlight w:val="none"/>
        </w:rPr>
      </w:pPr>
      <w:r>
        <w:rPr>
          <w:rFonts w:hint="eastAsia" w:ascii="仿宋" w:hAnsi="仿宋" w:cstheme="minorBidi"/>
          <w:sz w:val="32"/>
          <w:szCs w:val="32"/>
          <w:highlight w:val="none"/>
          <w:lang w:val="en-US" w:eastAsia="zh-CN"/>
        </w:rPr>
        <w:t>实际发用电结束后，根据经营主体的实际发用电情况，开展偏差电费结算。</w:t>
      </w:r>
    </w:p>
    <w:p w14:paraId="60B8EBC0">
      <w:pPr>
        <w:pStyle w:val="4"/>
        <w:shd w:val="clear"/>
        <w:rPr>
          <w:rFonts w:ascii="仿宋" w:hAnsi="仿宋" w:eastAsia="仿宋" w:cs="仿宋"/>
          <w:highlight w:val="none"/>
        </w:rPr>
      </w:pPr>
      <w:r>
        <w:rPr>
          <w:rFonts w:hint="eastAsia" w:cs="Times New Roman"/>
          <w:highlight w:val="none"/>
        </w:rPr>
        <w:t>第</w:t>
      </w:r>
      <w:r>
        <w:rPr>
          <w:rFonts w:hint="eastAsia" w:cs="Times New Roman"/>
          <w:highlight w:val="none"/>
          <w:lang w:val="en-US" w:eastAsia="zh-CN"/>
        </w:rPr>
        <w:t>八</w:t>
      </w:r>
      <w:r>
        <w:rPr>
          <w:rFonts w:hint="eastAsia" w:cs="Times New Roman"/>
          <w:highlight w:val="none"/>
        </w:rPr>
        <w:t>节  电力零售交易</w:t>
      </w:r>
    </w:p>
    <w:p w14:paraId="34E46CC5">
      <w:pPr>
        <w:numPr>
          <w:ilvl w:val="0"/>
          <w:numId w:val="4"/>
        </w:numPr>
        <w:shd w:val="clear"/>
        <w:ind w:firstLine="640"/>
        <w:rPr>
          <w:highlight w:val="none"/>
        </w:rPr>
      </w:pPr>
      <w:r>
        <w:rPr>
          <w:rFonts w:hint="eastAsia"/>
          <w:highlight w:val="none"/>
        </w:rPr>
        <w:t>开展电力零售交易的售电公司和电力用户均需在电力交易机构注册并纳入</w:t>
      </w:r>
      <w:r>
        <w:rPr>
          <w:rFonts w:hint="eastAsia"/>
          <w:highlight w:val="none"/>
          <w:lang w:eastAsia="zh-CN"/>
        </w:rPr>
        <w:t>经营主体</w:t>
      </w:r>
      <w:r>
        <w:rPr>
          <w:rFonts w:hint="eastAsia"/>
          <w:highlight w:val="none"/>
        </w:rPr>
        <w:t>目录。在做好结算风险防控措施的情况下，电网企业与售电公司自愿签订结算协议，约定双方结算有关事项。</w:t>
      </w:r>
    </w:p>
    <w:p w14:paraId="7EEECC91">
      <w:pPr>
        <w:numPr>
          <w:ilvl w:val="0"/>
          <w:numId w:val="4"/>
        </w:numPr>
        <w:shd w:val="clear"/>
        <w:ind w:firstLine="640"/>
        <w:rPr>
          <w:highlight w:val="none"/>
        </w:rPr>
      </w:pPr>
      <w:r>
        <w:rPr>
          <w:rFonts w:hint="eastAsia"/>
          <w:highlight w:val="none"/>
        </w:rPr>
        <w:t>电力零售交易主要以电力零售套餐的形式组织开展，采用双边协商</w:t>
      </w:r>
      <w:r>
        <w:rPr>
          <w:rFonts w:hint="eastAsia" w:ascii="仿宋" w:hAnsi="仿宋" w:cs="仿宋"/>
          <w:szCs w:val="32"/>
          <w:highlight w:val="none"/>
        </w:rPr>
        <w:t>或者集中交易等方式</w:t>
      </w:r>
      <w:r>
        <w:rPr>
          <w:rFonts w:hint="eastAsia"/>
          <w:highlight w:val="none"/>
        </w:rPr>
        <w:t>组织开展。电力零售套餐成交后形成电力零售交易合同，售电公司和电力用户建立零售关系。</w:t>
      </w:r>
    </w:p>
    <w:p w14:paraId="0E29123C">
      <w:pPr>
        <w:numPr>
          <w:ilvl w:val="0"/>
          <w:numId w:val="4"/>
        </w:numPr>
        <w:shd w:val="clear"/>
        <w:ind w:firstLine="640"/>
        <w:rPr>
          <w:rFonts w:ascii="仿宋" w:hAnsi="仿宋" w:cs="仿宋"/>
          <w:szCs w:val="32"/>
          <w:highlight w:val="none"/>
        </w:rPr>
      </w:pPr>
      <w:r>
        <w:rPr>
          <w:rFonts w:hint="eastAsia"/>
          <w:highlight w:val="none"/>
        </w:rPr>
        <w:t>任何单位和个人不得干预电力用户自由选择售电公司的权利。在一个交易周期内，电力用户只能向一家售电公司购买电力零售套餐。成功购买电力零售套餐后，电力用户全部电量通过该售电公司购买。</w:t>
      </w:r>
    </w:p>
    <w:p w14:paraId="31EFB017">
      <w:pPr>
        <w:numPr>
          <w:ilvl w:val="0"/>
          <w:numId w:val="4"/>
        </w:numPr>
        <w:shd w:val="clear"/>
        <w:ind w:firstLine="640"/>
        <w:rPr>
          <w:highlight w:val="none"/>
        </w:rPr>
      </w:pPr>
      <w:r>
        <w:rPr>
          <w:rFonts w:hint="eastAsia"/>
          <w:highlight w:val="none"/>
        </w:rPr>
        <w:t>根据售电公司在批发市场与零售市场的交易情况，可采用售电公司</w:t>
      </w:r>
      <w:r>
        <w:rPr>
          <w:rFonts w:hint="eastAsia"/>
          <w:highlight w:val="none"/>
          <w:lang w:val="en-US" w:eastAsia="zh-CN"/>
        </w:rPr>
        <w:t>履约保函（保险）管理</w:t>
      </w:r>
      <w:r>
        <w:rPr>
          <w:rFonts w:hint="eastAsia"/>
          <w:highlight w:val="none"/>
        </w:rPr>
        <w:t>机制，合理控制零售市场结算风险。</w:t>
      </w:r>
    </w:p>
    <w:p w14:paraId="35FEDB7D">
      <w:pPr>
        <w:numPr>
          <w:ilvl w:val="0"/>
          <w:numId w:val="4"/>
        </w:numPr>
        <w:shd w:val="clear"/>
        <w:ind w:firstLine="640"/>
        <w:rPr>
          <w:highlight w:val="none"/>
        </w:rPr>
      </w:pPr>
      <w:r>
        <w:rPr>
          <w:rFonts w:hint="eastAsia"/>
          <w:highlight w:val="none"/>
        </w:rPr>
        <w:t>售电公司因政策调整等原因在批发交易中承担或分享的损益，按省级政府有关部门的政策执行。</w:t>
      </w:r>
    </w:p>
    <w:p w14:paraId="0DDA1C4D">
      <w:pPr>
        <w:pStyle w:val="3"/>
        <w:shd w:val="clear"/>
        <w:rPr>
          <w:rFonts w:cs="Times New Roman"/>
          <w:highlight w:val="none"/>
        </w:rPr>
      </w:pPr>
      <w:r>
        <w:rPr>
          <w:rFonts w:hint="eastAsia" w:cs="Times New Roman"/>
          <w:highlight w:val="none"/>
        </w:rPr>
        <w:t>第</w:t>
      </w:r>
      <w:r>
        <w:rPr>
          <w:rFonts w:hint="eastAsia" w:cs="Times New Roman"/>
          <w:highlight w:val="none"/>
          <w:lang w:val="en-US" w:eastAsia="zh-CN"/>
        </w:rPr>
        <w:t>六</w:t>
      </w:r>
      <w:r>
        <w:rPr>
          <w:rFonts w:hint="eastAsia" w:cs="Times New Roman"/>
          <w:highlight w:val="none"/>
        </w:rPr>
        <w:t>章  安全校核</w:t>
      </w:r>
    </w:p>
    <w:p w14:paraId="415BA200">
      <w:pPr>
        <w:numPr>
          <w:ilvl w:val="0"/>
          <w:numId w:val="4"/>
        </w:numPr>
        <w:shd w:val="clear"/>
        <w:spacing w:line="560" w:lineRule="exact"/>
        <w:ind w:firstLine="640" w:firstLineChars="200"/>
        <w:rPr>
          <w:rFonts w:hint="eastAsia" w:ascii="仿宋" w:hAnsi="仿宋" w:eastAsia="仿宋" w:cstheme="minorBidi"/>
          <w:sz w:val="32"/>
          <w:szCs w:val="32"/>
          <w:highlight w:val="none"/>
        </w:rPr>
      </w:pPr>
      <w:r>
        <w:rPr>
          <w:rFonts w:hint="eastAsia" w:ascii="Times New Roman" w:hAnsi="Times New Roman" w:eastAsia="仿宋" w:cs="宋体"/>
          <w:sz w:val="32"/>
          <w:szCs w:val="24"/>
          <w:highlight w:val="none"/>
          <w:lang w:val="en-US" w:eastAsia="zh-CN"/>
        </w:rPr>
        <w:t>非现货运行期间的</w:t>
      </w:r>
      <w:r>
        <w:rPr>
          <w:rFonts w:hint="eastAsia" w:ascii="Times New Roman" w:hAnsi="Times New Roman" w:eastAsia="仿宋" w:cs="宋体"/>
          <w:sz w:val="32"/>
          <w:szCs w:val="24"/>
          <w:highlight w:val="none"/>
        </w:rPr>
        <w:t>各类</w:t>
      </w:r>
      <w:r>
        <w:rPr>
          <w:rFonts w:hint="eastAsia" w:ascii="Times New Roman" w:hAnsi="Times New Roman" w:eastAsia="仿宋" w:cs="宋体"/>
          <w:sz w:val="32"/>
          <w:szCs w:val="24"/>
          <w:highlight w:val="none"/>
          <w:lang w:val="en-US" w:eastAsia="zh-CN"/>
        </w:rPr>
        <w:t>中长期批发</w:t>
      </w:r>
      <w:r>
        <w:rPr>
          <w:rFonts w:hint="eastAsia" w:ascii="Times New Roman" w:hAnsi="Times New Roman" w:eastAsia="仿宋" w:cs="宋体"/>
          <w:sz w:val="32"/>
          <w:szCs w:val="24"/>
          <w:highlight w:val="none"/>
        </w:rPr>
        <w:t>交易应当通过电力调度机构安全校核。安全校核的主要内容包括：通道输电能力限制、机组发电能力限制、机组辅助服务限制、电力电量平衡等内容。</w:t>
      </w:r>
    </w:p>
    <w:p w14:paraId="566547C3">
      <w:pPr>
        <w:numPr>
          <w:ilvl w:val="0"/>
          <w:numId w:val="4"/>
        </w:numPr>
        <w:shd w:val="clear"/>
        <w:spacing w:line="560" w:lineRule="exact"/>
        <w:ind w:firstLine="640" w:firstLineChars="200"/>
        <w:rPr>
          <w:rFonts w:hint="eastAsia" w:ascii="Times New Roman" w:hAnsi="Times New Roman" w:eastAsia="仿宋" w:cs="宋体"/>
          <w:sz w:val="32"/>
          <w:szCs w:val="24"/>
          <w:highlight w:val="none"/>
        </w:rPr>
      </w:pPr>
      <w:r>
        <w:rPr>
          <w:rFonts w:hint="eastAsia" w:ascii="仿宋" w:hAnsi="仿宋" w:eastAsia="仿宋" w:cstheme="minorBidi"/>
          <w:sz w:val="32"/>
          <w:szCs w:val="32"/>
          <w:highlight w:val="none"/>
        </w:rPr>
        <w:t>跨境</w:t>
      </w:r>
      <w:r>
        <w:rPr>
          <w:rFonts w:hint="eastAsia" w:ascii="仿宋" w:hAnsi="仿宋" w:cstheme="minorBidi"/>
          <w:sz w:val="32"/>
          <w:szCs w:val="32"/>
          <w:highlight w:val="none"/>
          <w:lang w:eastAsia="zh-CN"/>
        </w:rPr>
        <w:t>经营主体</w:t>
      </w:r>
      <w:r>
        <w:rPr>
          <w:rFonts w:hint="eastAsia" w:ascii="Times New Roman" w:hAnsi="Times New Roman" w:eastAsia="仿宋" w:cs="宋体"/>
          <w:sz w:val="32"/>
          <w:szCs w:val="24"/>
          <w:highlight w:val="none"/>
        </w:rPr>
        <w:t>参与云南电力市场交易时，电力调度机构仅对</w:t>
      </w:r>
      <w:r>
        <w:rPr>
          <w:rFonts w:hint="eastAsia" w:ascii="Times New Roman" w:hAnsi="Times New Roman" w:eastAsia="仿宋" w:cs="宋体"/>
          <w:sz w:val="32"/>
          <w:szCs w:val="24"/>
          <w:highlight w:val="none"/>
          <w:lang w:val="en-US" w:eastAsia="zh-CN"/>
        </w:rPr>
        <w:t>调管范围内</w:t>
      </w:r>
      <w:r>
        <w:rPr>
          <w:rFonts w:hint="eastAsia" w:ascii="Times New Roman" w:hAnsi="Times New Roman" w:eastAsia="仿宋" w:cs="宋体"/>
          <w:sz w:val="32"/>
          <w:szCs w:val="24"/>
          <w:highlight w:val="none"/>
        </w:rPr>
        <w:t>的联络线、电厂等开展安全校核。</w:t>
      </w:r>
    </w:p>
    <w:p w14:paraId="110B2894">
      <w:pPr>
        <w:numPr>
          <w:ilvl w:val="0"/>
          <w:numId w:val="4"/>
        </w:numPr>
        <w:shd w:val="clear"/>
        <w:spacing w:line="560" w:lineRule="exact"/>
        <w:ind w:firstLine="640" w:firstLineChars="200"/>
        <w:rPr>
          <w:rFonts w:hint="eastAsia" w:ascii="Times New Roman" w:hAnsi="Times New Roman" w:eastAsia="仿宋" w:cs="宋体"/>
          <w:sz w:val="32"/>
          <w:szCs w:val="24"/>
          <w:highlight w:val="none"/>
        </w:rPr>
      </w:pPr>
      <w:r>
        <w:rPr>
          <w:rFonts w:hint="eastAsia" w:ascii="Times New Roman" w:hAnsi="Times New Roman" w:eastAsia="仿宋" w:cs="宋体"/>
          <w:sz w:val="32"/>
          <w:szCs w:val="24"/>
          <w:highlight w:val="none"/>
        </w:rPr>
        <w:t>电力调度机构应当及时向</w:t>
      </w:r>
      <w:r>
        <w:rPr>
          <w:rFonts w:hint="eastAsia" w:cs="华文仿宋"/>
          <w:sz w:val="32"/>
          <w:szCs w:val="32"/>
          <w:highlight w:val="none"/>
          <w:lang w:val="en-US" w:eastAsia="zh-CN"/>
        </w:rPr>
        <w:t>电力交易机构</w:t>
      </w:r>
      <w:r>
        <w:rPr>
          <w:rFonts w:hint="eastAsia" w:ascii="Times New Roman" w:hAnsi="Times New Roman" w:eastAsia="仿宋" w:cs="宋体"/>
          <w:sz w:val="32"/>
          <w:szCs w:val="24"/>
          <w:highlight w:val="none"/>
        </w:rPr>
        <w:t>提供或者更新各断面（设备）、各路径可用输电容量，以及交易在不同断面、路径上的分布系数，并通过交易平台发布必开机组组合和发电量</w:t>
      </w:r>
      <w:r>
        <w:rPr>
          <w:rFonts w:hint="eastAsia" w:ascii="Times New Roman" w:hAnsi="Times New Roman" w:eastAsia="仿宋" w:cs="宋体"/>
          <w:sz w:val="32"/>
          <w:szCs w:val="24"/>
          <w:highlight w:val="none"/>
          <w:lang w:val="en-US" w:eastAsia="zh-CN"/>
        </w:rPr>
        <w:t>需</w:t>
      </w:r>
      <w:r>
        <w:rPr>
          <w:rFonts w:hint="eastAsia" w:ascii="Times New Roman" w:hAnsi="Times New Roman" w:eastAsia="仿宋" w:cs="宋体"/>
          <w:sz w:val="32"/>
          <w:szCs w:val="24"/>
          <w:highlight w:val="none"/>
        </w:rPr>
        <w:t>求、影响断面（设备）限额变化的停电检修、</w:t>
      </w:r>
      <w:r>
        <w:rPr>
          <w:rFonts w:hint="eastAsia" w:ascii="Times New Roman" w:hAnsi="Times New Roman" w:eastAsia="仿宋" w:cs="宋体"/>
          <w:spacing w:val="0"/>
          <w:sz w:val="32"/>
          <w:szCs w:val="24"/>
          <w:highlight w:val="none"/>
        </w:rPr>
        <w:t>新能源电厂典型日曲线</w:t>
      </w:r>
      <w:r>
        <w:rPr>
          <w:rFonts w:hint="eastAsia" w:ascii="Times New Roman" w:hAnsi="Times New Roman" w:eastAsia="仿宋" w:cs="宋体"/>
          <w:sz w:val="32"/>
          <w:szCs w:val="24"/>
          <w:highlight w:val="none"/>
        </w:rPr>
        <w:t>等内容。</w:t>
      </w:r>
    </w:p>
    <w:p w14:paraId="78E76AAE">
      <w:pPr>
        <w:numPr>
          <w:ilvl w:val="0"/>
          <w:numId w:val="4"/>
        </w:numPr>
        <w:shd w:val="clear"/>
        <w:ind w:firstLine="640"/>
        <w:rPr>
          <w:rFonts w:ascii="仿宋" w:hAnsi="仿宋" w:cs="仿宋"/>
          <w:spacing w:val="-8"/>
          <w:szCs w:val="32"/>
          <w:highlight w:val="none"/>
        </w:rPr>
      </w:pPr>
      <w:r>
        <w:rPr>
          <w:rFonts w:hint="eastAsia" w:ascii="仿宋" w:hAnsi="仿宋" w:cs="仿宋"/>
          <w:szCs w:val="32"/>
          <w:highlight w:val="none"/>
        </w:rPr>
        <w:t>为保障系统整体的备用和调峰调频能力，在各类市场化交易开始前，电力调度机构可以根据机组可调出力、检修天数、系统负荷曲线以及电网约束情况，折算得出各机组的电量上限，对参与市场化交易的机组发电利用小时数提出限制建议，</w:t>
      </w:r>
      <w:r>
        <w:rPr>
          <w:rFonts w:hint="eastAsia" w:ascii="仿宋" w:hAnsi="仿宋" w:cs="仿宋"/>
          <w:spacing w:val="-8"/>
          <w:szCs w:val="32"/>
          <w:highlight w:val="none"/>
        </w:rPr>
        <w:t>并及时提供关键通道可用输电容量、关键设备检修计划等电网运行相关信息，由电力交易机构予以公布。</w:t>
      </w:r>
    </w:p>
    <w:p w14:paraId="57D64CE2">
      <w:pPr>
        <w:shd w:val="clear"/>
        <w:ind w:firstLine="640"/>
        <w:rPr>
          <w:rFonts w:ascii="仿宋" w:hAnsi="仿宋" w:cs="仿宋"/>
          <w:szCs w:val="32"/>
          <w:highlight w:val="none"/>
        </w:rPr>
      </w:pPr>
      <w:r>
        <w:rPr>
          <w:rFonts w:hint="eastAsia" w:ascii="仿宋" w:hAnsi="仿宋" w:cs="仿宋"/>
          <w:szCs w:val="32"/>
          <w:highlight w:val="none"/>
        </w:rPr>
        <w:t>其中，对于年度交易，应当在年度电力电量预测平衡的基础上，结合检修计划，按照不低于关键通道可用输电容量的80%下达交易限额。</w:t>
      </w:r>
    </w:p>
    <w:p w14:paraId="42901974">
      <w:pPr>
        <w:shd w:val="clear"/>
        <w:ind w:firstLine="640"/>
        <w:rPr>
          <w:rFonts w:ascii="仿宋" w:hAnsi="仿宋" w:cs="仿宋"/>
          <w:szCs w:val="32"/>
          <w:highlight w:val="none"/>
        </w:rPr>
      </w:pPr>
      <w:r>
        <w:rPr>
          <w:rFonts w:hint="eastAsia" w:ascii="仿宋" w:hAnsi="仿宋" w:cs="仿宋"/>
          <w:szCs w:val="32"/>
          <w:highlight w:val="none"/>
        </w:rPr>
        <w:t>对于月度交易，应当在月度电力电量预测平衡的基础上，结合检修计划和发电设备利用率，按照不低于关键通道可用输电容量的90%下达交易限额；发电设备利用率应当结合调峰调频需求制定，并向</w:t>
      </w:r>
      <w:r>
        <w:rPr>
          <w:rFonts w:hint="eastAsia" w:ascii="仿宋" w:hAnsi="仿宋" w:cs="仿宋"/>
          <w:szCs w:val="32"/>
          <w:highlight w:val="none"/>
          <w:lang w:eastAsia="zh-CN"/>
        </w:rPr>
        <w:t>经营主体</w:t>
      </w:r>
      <w:r>
        <w:rPr>
          <w:rFonts w:hint="eastAsia" w:ascii="仿宋" w:hAnsi="仿宋" w:cs="仿宋"/>
          <w:szCs w:val="32"/>
          <w:highlight w:val="none"/>
        </w:rPr>
        <w:t>公开设备利用率。</w:t>
      </w:r>
    </w:p>
    <w:p w14:paraId="09A97081">
      <w:pPr>
        <w:shd w:val="clear"/>
        <w:ind w:firstLine="640"/>
        <w:rPr>
          <w:rFonts w:ascii="仿宋" w:hAnsi="仿宋" w:cs="仿宋"/>
          <w:szCs w:val="32"/>
          <w:highlight w:val="none"/>
        </w:rPr>
      </w:pPr>
      <w:r>
        <w:rPr>
          <w:rFonts w:hint="eastAsia" w:ascii="仿宋" w:hAnsi="仿宋" w:cs="仿宋"/>
          <w:szCs w:val="32"/>
          <w:highlight w:val="none"/>
        </w:rPr>
        <w:t>对于月度内的交易，参考月度交易的限额制定方法，按照不低于关键通道可用输电容量的95%下达交易限额。</w:t>
      </w:r>
    </w:p>
    <w:p w14:paraId="6DDA3A1F">
      <w:pPr>
        <w:numPr>
          <w:ilvl w:val="0"/>
          <w:numId w:val="4"/>
        </w:numPr>
        <w:shd w:val="clear"/>
        <w:ind w:firstLine="640"/>
        <w:rPr>
          <w:rFonts w:hint="eastAsia" w:ascii="仿宋" w:hAnsi="仿宋" w:cs="仿宋"/>
          <w:szCs w:val="32"/>
          <w:highlight w:val="none"/>
        </w:rPr>
      </w:pPr>
      <w:r>
        <w:rPr>
          <w:rFonts w:hint="eastAsia" w:ascii="仿宋" w:hAnsi="仿宋" w:cs="仿宋"/>
          <w:szCs w:val="32"/>
          <w:highlight w:val="none"/>
        </w:rPr>
        <w:t>安全校核未通过时，由电力交易机构按规则进行交易削减。对于双边交易，可按照</w:t>
      </w:r>
      <w:r>
        <w:rPr>
          <w:rFonts w:hint="eastAsia" w:ascii="仿宋" w:hAnsi="仿宋" w:cs="仿宋"/>
          <w:szCs w:val="32"/>
          <w:highlight w:val="none"/>
          <w:lang w:eastAsia="zh-CN"/>
        </w:rPr>
        <w:t>经营主体</w:t>
      </w:r>
      <w:r>
        <w:rPr>
          <w:rFonts w:hint="eastAsia" w:ascii="仿宋" w:hAnsi="仿宋" w:cs="仿宋"/>
          <w:szCs w:val="32"/>
          <w:highlight w:val="none"/>
        </w:rPr>
        <w:t>自行协商削减方案或时间优先、等比例等原则进行削减；对于集中交易，可按照价格优先或者时间优先原则进行削减，价格相同时按照发电侧节能低碳电力调度的优先级进行削减。交易合同削减后，若</w:t>
      </w:r>
      <w:r>
        <w:rPr>
          <w:rFonts w:hint="eastAsia" w:ascii="仿宋" w:hAnsi="仿宋" w:cs="仿宋"/>
          <w:szCs w:val="32"/>
          <w:highlight w:val="none"/>
          <w:lang w:eastAsia="zh-CN"/>
        </w:rPr>
        <w:t>经营主体</w:t>
      </w:r>
      <w:r>
        <w:rPr>
          <w:rFonts w:hint="eastAsia" w:ascii="仿宋" w:hAnsi="仿宋" w:cs="仿宋"/>
          <w:szCs w:val="32"/>
          <w:highlight w:val="none"/>
        </w:rPr>
        <w:t>双方一致同意转为结算合约模式，则安全校核部分的电量可转为结算合约，纳入合约电量电费结算。</w:t>
      </w:r>
    </w:p>
    <w:p w14:paraId="65F5DBB1">
      <w:pPr>
        <w:numPr>
          <w:ilvl w:val="0"/>
          <w:numId w:val="4"/>
        </w:numPr>
        <w:shd w:val="clear"/>
        <w:spacing w:line="560" w:lineRule="exact"/>
        <w:ind w:firstLine="640" w:firstLineChars="200"/>
        <w:rPr>
          <w:rFonts w:hint="eastAsia" w:ascii="仿宋" w:hAnsi="仿宋" w:eastAsia="仿宋" w:cstheme="minorBidi"/>
          <w:spacing w:val="0"/>
          <w:sz w:val="32"/>
          <w:szCs w:val="32"/>
          <w:highlight w:val="none"/>
        </w:rPr>
      </w:pPr>
      <w:r>
        <w:rPr>
          <w:rFonts w:hint="eastAsia" w:cs="华文仿宋"/>
          <w:sz w:val="32"/>
          <w:szCs w:val="32"/>
          <w:highlight w:val="none"/>
          <w:lang w:val="en-US" w:eastAsia="zh-CN"/>
        </w:rPr>
        <w:t>电力交易机构</w:t>
      </w:r>
      <w:r>
        <w:rPr>
          <w:rFonts w:hint="eastAsia" w:ascii="Times New Roman" w:hAnsi="Times New Roman" w:eastAsia="仿宋" w:cs="宋体"/>
          <w:sz w:val="32"/>
          <w:szCs w:val="24"/>
          <w:highlight w:val="none"/>
        </w:rPr>
        <w:t>按交易周期</w:t>
      </w:r>
      <w:r>
        <w:rPr>
          <w:rFonts w:hint="eastAsia" w:ascii="Times New Roman" w:hAnsi="Times New Roman" w:eastAsia="仿宋" w:cs="宋体"/>
          <w:spacing w:val="0"/>
          <w:sz w:val="32"/>
          <w:szCs w:val="24"/>
          <w:highlight w:val="none"/>
        </w:rPr>
        <w:t>汇总全部预成交电量提交电力调度机构进行安全校核</w:t>
      </w:r>
      <w:r>
        <w:rPr>
          <w:rFonts w:hint="eastAsia" w:ascii="仿宋" w:hAnsi="仿宋" w:eastAsia="仿宋" w:cstheme="minorBidi"/>
          <w:spacing w:val="0"/>
          <w:sz w:val="32"/>
          <w:szCs w:val="32"/>
          <w:highlight w:val="none"/>
        </w:rPr>
        <w:t>。</w:t>
      </w:r>
    </w:p>
    <w:p w14:paraId="76D4D8F7">
      <w:pPr>
        <w:pStyle w:val="6"/>
        <w:numPr>
          <w:ilvl w:val="0"/>
          <w:numId w:val="11"/>
        </w:numPr>
        <w:shd w:val="clear"/>
        <w:spacing w:line="560" w:lineRule="exact"/>
        <w:ind w:left="0" w:firstLine="42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年度（多年）交易结束后，</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汇总每类交易的</w:t>
      </w:r>
      <w:r>
        <w:rPr>
          <w:rFonts w:hint="eastAsia" w:ascii="仿宋" w:hAnsi="仿宋" w:eastAsia="仿宋" w:cs="仿宋"/>
          <w:sz w:val="32"/>
          <w:szCs w:val="32"/>
          <w:highlight w:val="none"/>
          <w:lang w:val="en-US" w:eastAsia="zh-CN"/>
        </w:rPr>
        <w:t>总</w:t>
      </w:r>
      <w:r>
        <w:rPr>
          <w:rFonts w:hint="eastAsia" w:ascii="仿宋" w:hAnsi="仿宋" w:eastAsia="仿宋" w:cs="仿宋"/>
          <w:sz w:val="32"/>
          <w:szCs w:val="32"/>
          <w:highlight w:val="none"/>
        </w:rPr>
        <w:t>预成交电量，提交电力调度机构统一进行安全校核。电力调度机构在5个工作日内返回安全校核结果，由</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发布。</w:t>
      </w:r>
    </w:p>
    <w:p w14:paraId="5CA89F8B">
      <w:pPr>
        <w:pStyle w:val="6"/>
        <w:numPr>
          <w:ilvl w:val="0"/>
          <w:numId w:val="11"/>
        </w:numPr>
        <w:shd w:val="clear"/>
        <w:spacing w:line="560" w:lineRule="exact"/>
        <w:ind w:left="0" w:firstLine="42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月度（多月）直接交易结束后，</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汇总次月每类交易的</w:t>
      </w:r>
      <w:r>
        <w:rPr>
          <w:rFonts w:hint="eastAsia" w:ascii="仿宋" w:hAnsi="仿宋" w:eastAsia="仿宋" w:cs="仿宋"/>
          <w:sz w:val="32"/>
          <w:szCs w:val="32"/>
          <w:highlight w:val="none"/>
          <w:lang w:val="en-US" w:eastAsia="zh-CN"/>
        </w:rPr>
        <w:t>总</w:t>
      </w:r>
      <w:r>
        <w:rPr>
          <w:rFonts w:hint="eastAsia" w:ascii="仿宋" w:hAnsi="仿宋" w:eastAsia="仿宋" w:cs="仿宋"/>
          <w:sz w:val="32"/>
          <w:szCs w:val="32"/>
          <w:highlight w:val="none"/>
        </w:rPr>
        <w:t>预成交电量，提交电力调度机构统一进行安全校核。电力调度机构在2个工作日内返回安全校核结果，由</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发布。</w:t>
      </w:r>
    </w:p>
    <w:p w14:paraId="5D374C4D">
      <w:pPr>
        <w:pStyle w:val="6"/>
        <w:numPr>
          <w:ilvl w:val="0"/>
          <w:numId w:val="11"/>
        </w:numPr>
        <w:shd w:val="clear"/>
        <w:spacing w:line="560" w:lineRule="exact"/>
        <w:ind w:left="0" w:firstLine="42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每月发电侧事前合约转让交易结束后，</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汇总发电企业事前合约转让交易的</w:t>
      </w:r>
      <w:r>
        <w:rPr>
          <w:rFonts w:hint="eastAsia" w:ascii="仿宋" w:hAnsi="仿宋" w:eastAsia="仿宋" w:cs="仿宋"/>
          <w:sz w:val="32"/>
          <w:szCs w:val="32"/>
          <w:highlight w:val="none"/>
          <w:lang w:val="en-US" w:eastAsia="zh-CN"/>
        </w:rPr>
        <w:t>总</w:t>
      </w:r>
      <w:r>
        <w:rPr>
          <w:rFonts w:hint="eastAsia" w:ascii="仿宋" w:hAnsi="仿宋" w:eastAsia="仿宋" w:cs="仿宋"/>
          <w:sz w:val="32"/>
          <w:szCs w:val="32"/>
          <w:highlight w:val="none"/>
        </w:rPr>
        <w:t>预成交电量，提交电力调度机构进行安全校核。电力调度机构在1个工作日内返回安全校核结果，由</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发布。安全校核未通过的电量继续由合约出让方承接。</w:t>
      </w:r>
    </w:p>
    <w:p w14:paraId="36ED9933">
      <w:pPr>
        <w:pStyle w:val="6"/>
        <w:numPr>
          <w:ilvl w:val="0"/>
          <w:numId w:val="11"/>
        </w:numPr>
        <w:shd w:val="clear"/>
        <w:spacing w:line="560" w:lineRule="exact"/>
        <w:ind w:left="0" w:firstLine="420" w:firstLineChars="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周</w:t>
      </w:r>
      <w:r>
        <w:rPr>
          <w:rFonts w:hint="eastAsia" w:ascii="仿宋" w:hAnsi="仿宋" w:eastAsia="仿宋" w:cs="仿宋"/>
          <w:sz w:val="32"/>
          <w:szCs w:val="32"/>
          <w:highlight w:val="none"/>
        </w:rPr>
        <w:t>（多</w:t>
      </w:r>
      <w:r>
        <w:rPr>
          <w:rFonts w:hint="eastAsia" w:ascii="仿宋" w:hAnsi="仿宋" w:eastAsia="仿宋" w:cs="仿宋"/>
          <w:sz w:val="32"/>
          <w:szCs w:val="32"/>
          <w:highlight w:val="none"/>
          <w:lang w:val="en-US" w:eastAsia="zh-CN"/>
        </w:rPr>
        <w:t>周</w:t>
      </w:r>
      <w:r>
        <w:rPr>
          <w:rFonts w:hint="eastAsia" w:ascii="仿宋" w:hAnsi="仿宋" w:eastAsia="仿宋" w:cs="仿宋"/>
          <w:sz w:val="32"/>
          <w:szCs w:val="32"/>
          <w:highlight w:val="none"/>
        </w:rPr>
        <w:t>）直接交易结束后，</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汇总次月每类交易的</w:t>
      </w:r>
      <w:r>
        <w:rPr>
          <w:rFonts w:hint="eastAsia" w:ascii="仿宋" w:hAnsi="仿宋" w:eastAsia="仿宋" w:cs="仿宋"/>
          <w:sz w:val="32"/>
          <w:szCs w:val="32"/>
          <w:highlight w:val="none"/>
          <w:lang w:val="en-US" w:eastAsia="zh-CN"/>
        </w:rPr>
        <w:t>总</w:t>
      </w:r>
      <w:r>
        <w:rPr>
          <w:rFonts w:hint="eastAsia" w:ascii="仿宋" w:hAnsi="仿宋" w:eastAsia="仿宋" w:cs="仿宋"/>
          <w:sz w:val="32"/>
          <w:szCs w:val="32"/>
          <w:highlight w:val="none"/>
        </w:rPr>
        <w:t>预成交电量，提交电力调度机构统一进行安全校核。电力调度机构在2个工作日内返回安全校核结果，由</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发布。</w:t>
      </w:r>
    </w:p>
    <w:p w14:paraId="22E0A223">
      <w:pPr>
        <w:pStyle w:val="6"/>
        <w:numPr>
          <w:ilvl w:val="0"/>
          <w:numId w:val="11"/>
        </w:numPr>
        <w:shd w:val="clear"/>
        <w:spacing w:line="560" w:lineRule="exact"/>
        <w:ind w:left="0" w:firstLine="420" w:firstLineChars="0"/>
        <w:rPr>
          <w:rFonts w:hint="eastAsia" w:ascii="仿宋" w:hAnsi="仿宋" w:eastAsia="仿宋" w:cs="仿宋"/>
          <w:sz w:val="32"/>
          <w:szCs w:val="32"/>
          <w:highlight w:val="none"/>
        </w:rPr>
      </w:pPr>
      <w:r>
        <w:rPr>
          <w:rFonts w:hint="eastAsia" w:ascii="仿宋" w:hAnsi="仿宋" w:eastAsia="仿宋" w:cs="仿宋"/>
          <w:sz w:val="32"/>
          <w:szCs w:val="32"/>
          <w:highlight w:val="none"/>
        </w:rPr>
        <w:t>日交易结束后，</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汇总每类交易</w:t>
      </w:r>
      <w:r>
        <w:rPr>
          <w:rFonts w:hint="eastAsia" w:ascii="仿宋" w:hAnsi="仿宋" w:eastAsia="仿宋" w:cs="仿宋"/>
          <w:sz w:val="32"/>
          <w:szCs w:val="32"/>
          <w:highlight w:val="none"/>
          <w:lang w:val="en-US" w:eastAsia="zh-CN"/>
        </w:rPr>
        <w:t>总</w:t>
      </w:r>
      <w:r>
        <w:rPr>
          <w:rFonts w:hint="eastAsia" w:ascii="仿宋" w:hAnsi="仿宋" w:eastAsia="仿宋" w:cs="仿宋"/>
          <w:sz w:val="32"/>
          <w:szCs w:val="32"/>
          <w:highlight w:val="none"/>
        </w:rPr>
        <w:t>预成交电量提交电力调度机构进行安全校核。原则上电力调度机构应在当日17:00前返回安全校核结果，由</w:t>
      </w:r>
      <w:r>
        <w:rPr>
          <w:rFonts w:hint="eastAsia" w:ascii="仿宋" w:hAnsi="仿宋" w:eastAsia="仿宋" w:cs="仿宋"/>
          <w:sz w:val="32"/>
          <w:szCs w:val="32"/>
          <w:highlight w:val="none"/>
          <w:lang w:val="en-US" w:eastAsia="zh-CN"/>
        </w:rPr>
        <w:t>电力交易机构</w:t>
      </w:r>
      <w:r>
        <w:rPr>
          <w:rFonts w:hint="eastAsia" w:ascii="仿宋" w:hAnsi="仿宋" w:eastAsia="仿宋" w:cs="仿宋"/>
          <w:sz w:val="32"/>
          <w:szCs w:val="32"/>
          <w:highlight w:val="none"/>
        </w:rPr>
        <w:t>发布。</w:t>
      </w:r>
    </w:p>
    <w:p w14:paraId="25EA0884">
      <w:pPr>
        <w:numPr>
          <w:ilvl w:val="0"/>
          <w:numId w:val="4"/>
        </w:numPr>
        <w:shd w:val="clear"/>
        <w:spacing w:line="560" w:lineRule="exact"/>
        <w:ind w:firstLine="640" w:firstLineChars="200"/>
        <w:rPr>
          <w:rFonts w:hint="eastAsia" w:ascii="仿宋" w:hAnsi="仿宋" w:eastAsia="仿宋" w:cstheme="minorBidi"/>
          <w:sz w:val="32"/>
          <w:szCs w:val="32"/>
          <w:highlight w:val="none"/>
        </w:rPr>
      </w:pPr>
      <w:r>
        <w:rPr>
          <w:rFonts w:hint="eastAsia" w:ascii="仿宋" w:hAnsi="仿宋" w:eastAsia="仿宋" w:cstheme="minorBidi"/>
          <w:sz w:val="32"/>
          <w:szCs w:val="32"/>
          <w:highlight w:val="none"/>
        </w:rPr>
        <w:t>安全校核未通过时，电力调度机构应给出未通过的具体原因。如预成交电量超过交易前电力调度机构提供的断面（设备）、路径可用输电容量，通道输电能力限制原因导致安全校核不通过的，电力调度机构可对该越限的断面（设备）、路径进行安全校核，明确</w:t>
      </w:r>
      <w:r>
        <w:rPr>
          <w:rFonts w:hint="eastAsia" w:ascii="仿宋" w:hAnsi="仿宋" w:eastAsia="仿宋" w:cstheme="minorBidi"/>
          <w:sz w:val="32"/>
          <w:szCs w:val="32"/>
          <w:highlight w:val="none"/>
          <w:lang w:val="en-US" w:eastAsia="zh-CN"/>
        </w:rPr>
        <w:t>需</w:t>
      </w:r>
      <w:r>
        <w:rPr>
          <w:rFonts w:hint="eastAsia" w:ascii="仿宋" w:hAnsi="仿宋" w:eastAsia="仿宋" w:cstheme="minorBidi"/>
          <w:sz w:val="32"/>
          <w:szCs w:val="32"/>
          <w:highlight w:val="none"/>
        </w:rPr>
        <w:t>要削减的电量规模，由电力交易机构按等效装机容量等比例、通道充分利用的原则削减到具体电厂；其他原因导致的安全校核不通过的，电力调度机构应明确具体市场化电厂</w:t>
      </w:r>
      <w:r>
        <w:rPr>
          <w:rFonts w:hint="eastAsia" w:ascii="仿宋" w:hAnsi="仿宋" w:eastAsia="仿宋" w:cstheme="minorBidi"/>
          <w:sz w:val="32"/>
          <w:szCs w:val="32"/>
          <w:highlight w:val="none"/>
          <w:lang w:val="en-US" w:eastAsia="zh-CN"/>
        </w:rPr>
        <w:t>需</w:t>
      </w:r>
      <w:r>
        <w:rPr>
          <w:rFonts w:hint="eastAsia" w:ascii="仿宋" w:hAnsi="仿宋" w:eastAsia="仿宋" w:cstheme="minorBidi"/>
          <w:sz w:val="32"/>
          <w:szCs w:val="32"/>
          <w:highlight w:val="none"/>
        </w:rPr>
        <w:t>要削减的电量规模。</w:t>
      </w:r>
    </w:p>
    <w:p w14:paraId="1858E6E4">
      <w:pPr>
        <w:numPr>
          <w:ilvl w:val="0"/>
          <w:numId w:val="4"/>
        </w:numPr>
        <w:shd w:val="clear"/>
        <w:spacing w:line="560" w:lineRule="exact"/>
        <w:ind w:firstLine="640" w:firstLineChars="200"/>
        <w:rPr>
          <w:rFonts w:hint="eastAsia" w:ascii="仿宋" w:hAnsi="仿宋" w:eastAsia="仿宋" w:cstheme="minorBidi"/>
          <w:spacing w:val="0"/>
          <w:sz w:val="32"/>
          <w:szCs w:val="32"/>
          <w:highlight w:val="none"/>
        </w:rPr>
      </w:pPr>
      <w:r>
        <w:rPr>
          <w:rFonts w:hint="eastAsia" w:cs="华文仿宋"/>
          <w:sz w:val="32"/>
          <w:szCs w:val="32"/>
          <w:highlight w:val="none"/>
          <w:lang w:val="en-US" w:eastAsia="zh-CN"/>
        </w:rPr>
        <w:t>电力交易机构</w:t>
      </w:r>
      <w:r>
        <w:rPr>
          <w:rFonts w:hint="eastAsia" w:ascii="仿宋" w:hAnsi="仿宋" w:eastAsia="仿宋" w:cstheme="minorBidi"/>
          <w:sz w:val="32"/>
          <w:szCs w:val="32"/>
          <w:highlight w:val="none"/>
        </w:rPr>
        <w:t>根据各电厂</w:t>
      </w:r>
      <w:r>
        <w:rPr>
          <w:rFonts w:hint="eastAsia" w:ascii="仿宋" w:hAnsi="仿宋" w:eastAsia="仿宋" w:cstheme="minorBidi"/>
          <w:sz w:val="32"/>
          <w:szCs w:val="32"/>
          <w:highlight w:val="none"/>
          <w:lang w:val="en-US" w:eastAsia="zh-CN"/>
        </w:rPr>
        <w:t>需</w:t>
      </w:r>
      <w:r>
        <w:rPr>
          <w:rFonts w:hint="eastAsia" w:ascii="仿宋" w:hAnsi="仿宋" w:eastAsia="仿宋" w:cstheme="minorBidi"/>
          <w:sz w:val="32"/>
          <w:szCs w:val="32"/>
          <w:highlight w:val="none"/>
        </w:rPr>
        <w:t>要削减的电量规模，先由未通过安全校核的</w:t>
      </w:r>
      <w:r>
        <w:rPr>
          <w:rFonts w:hint="eastAsia" w:ascii="仿宋" w:hAnsi="仿宋" w:cstheme="minorBidi"/>
          <w:sz w:val="32"/>
          <w:szCs w:val="32"/>
          <w:highlight w:val="none"/>
          <w:lang w:eastAsia="zh-CN"/>
        </w:rPr>
        <w:t>经营主体</w:t>
      </w:r>
      <w:r>
        <w:rPr>
          <w:rFonts w:hint="eastAsia" w:ascii="仿宋" w:hAnsi="仿宋" w:eastAsia="仿宋" w:cstheme="minorBidi"/>
          <w:sz w:val="32"/>
          <w:szCs w:val="32"/>
          <w:highlight w:val="none"/>
        </w:rPr>
        <w:t>在规定时间内填写双边协商交易预成交电量削减方案，削减方案涉及到的</w:t>
      </w:r>
      <w:r>
        <w:rPr>
          <w:rFonts w:hint="eastAsia" w:ascii="仿宋" w:hAnsi="仿宋" w:cstheme="minorBidi"/>
          <w:sz w:val="32"/>
          <w:szCs w:val="32"/>
          <w:highlight w:val="none"/>
          <w:lang w:eastAsia="zh-CN"/>
        </w:rPr>
        <w:t>经营主体</w:t>
      </w:r>
      <w:r>
        <w:rPr>
          <w:rFonts w:hint="eastAsia" w:ascii="仿宋" w:hAnsi="仿宋" w:eastAsia="仿宋" w:cstheme="minorBidi"/>
          <w:sz w:val="32"/>
          <w:szCs w:val="32"/>
          <w:highlight w:val="none"/>
        </w:rPr>
        <w:t>在规定时间内全部完成确认后，按削减方案确定</w:t>
      </w:r>
      <w:r>
        <w:rPr>
          <w:rFonts w:hint="eastAsia" w:ascii="仿宋" w:hAnsi="仿宋" w:eastAsia="仿宋" w:cstheme="minorBidi"/>
          <w:sz w:val="32"/>
          <w:szCs w:val="32"/>
          <w:highlight w:val="none"/>
          <w:lang w:val="en-US" w:eastAsia="zh-CN"/>
        </w:rPr>
        <w:t>削</w:t>
      </w:r>
      <w:r>
        <w:rPr>
          <w:rFonts w:hint="eastAsia" w:ascii="仿宋" w:hAnsi="仿宋" w:eastAsia="仿宋" w:cstheme="minorBidi"/>
          <w:sz w:val="32"/>
          <w:szCs w:val="32"/>
          <w:highlight w:val="none"/>
        </w:rPr>
        <w:t>减电量规模；再按成交时间倒序原则，成交时间相同时，按照等比例原则削减的方式确定</w:t>
      </w:r>
      <w:r>
        <w:rPr>
          <w:rFonts w:hint="eastAsia" w:ascii="仿宋" w:hAnsi="仿宋" w:eastAsia="仿宋" w:cstheme="minorBidi"/>
          <w:sz w:val="32"/>
          <w:szCs w:val="32"/>
          <w:highlight w:val="none"/>
          <w:lang w:val="en-US" w:eastAsia="zh-CN"/>
        </w:rPr>
        <w:t>需</w:t>
      </w:r>
      <w:r>
        <w:rPr>
          <w:rFonts w:hint="eastAsia" w:ascii="仿宋" w:hAnsi="仿宋" w:eastAsia="仿宋" w:cstheme="minorBidi"/>
          <w:sz w:val="32"/>
          <w:szCs w:val="32"/>
          <w:highlight w:val="none"/>
        </w:rPr>
        <w:t>要削减的电量规模；再按各时段成交电量占比同步进行交易合同削减。另外削减电量时（含双边协商交易预成交电量、集中交易预成交电量），对合同另一方</w:t>
      </w:r>
      <w:r>
        <w:rPr>
          <w:rFonts w:hint="eastAsia" w:ascii="仿宋" w:hAnsi="仿宋" w:eastAsia="仿宋" w:cstheme="minorBidi"/>
          <w:spacing w:val="0"/>
          <w:sz w:val="32"/>
          <w:szCs w:val="32"/>
          <w:highlight w:val="none"/>
        </w:rPr>
        <w:t>按原合同曲线</w:t>
      </w:r>
      <w:r>
        <w:rPr>
          <w:rFonts w:hint="eastAsia" w:ascii="仿宋" w:hAnsi="仿宋" w:eastAsia="仿宋" w:cstheme="minorBidi"/>
          <w:sz w:val="32"/>
          <w:szCs w:val="32"/>
          <w:highlight w:val="none"/>
        </w:rPr>
        <w:t>进行同步削减形成新的交易合同</w:t>
      </w:r>
      <w:r>
        <w:rPr>
          <w:rFonts w:hint="eastAsia" w:ascii="仿宋" w:hAnsi="仿宋" w:eastAsia="仿宋" w:cstheme="minorBidi"/>
          <w:spacing w:val="0"/>
          <w:sz w:val="32"/>
          <w:szCs w:val="32"/>
          <w:highlight w:val="none"/>
        </w:rPr>
        <w:t>。</w:t>
      </w:r>
      <w:r>
        <w:rPr>
          <w:rFonts w:hint="eastAsia" w:ascii="仿宋" w:hAnsi="仿宋" w:cstheme="minorBidi"/>
          <w:spacing w:val="0"/>
          <w:sz w:val="32"/>
          <w:szCs w:val="32"/>
          <w:highlight w:val="none"/>
          <w:lang w:val="en-US" w:eastAsia="zh-CN"/>
        </w:rPr>
        <w:t>年度、月度</w:t>
      </w:r>
      <w:r>
        <w:rPr>
          <w:rFonts w:hint="eastAsia" w:ascii="仿宋" w:hAnsi="仿宋" w:eastAsia="仿宋" w:cstheme="minorBidi"/>
          <w:spacing w:val="0"/>
          <w:sz w:val="32"/>
          <w:szCs w:val="32"/>
          <w:highlight w:val="none"/>
          <w:lang w:val="en-US" w:eastAsia="zh-CN"/>
        </w:rPr>
        <w:t>双边协商</w:t>
      </w:r>
      <w:r>
        <w:rPr>
          <w:rFonts w:hint="eastAsia" w:ascii="仿宋" w:hAnsi="仿宋" w:eastAsia="仿宋" w:cstheme="minorBidi"/>
          <w:spacing w:val="0"/>
          <w:sz w:val="32"/>
          <w:szCs w:val="32"/>
          <w:highlight w:val="none"/>
        </w:rPr>
        <w:t>交易合同削减后，若</w:t>
      </w:r>
      <w:r>
        <w:rPr>
          <w:rFonts w:hint="eastAsia" w:ascii="仿宋" w:hAnsi="仿宋" w:cstheme="minorBidi"/>
          <w:spacing w:val="0"/>
          <w:sz w:val="32"/>
          <w:szCs w:val="32"/>
          <w:highlight w:val="none"/>
          <w:lang w:eastAsia="zh-CN"/>
        </w:rPr>
        <w:t>经营主体</w:t>
      </w:r>
      <w:r>
        <w:rPr>
          <w:rFonts w:hint="eastAsia" w:ascii="仿宋" w:hAnsi="仿宋" w:eastAsia="仿宋" w:cstheme="minorBidi"/>
          <w:spacing w:val="0"/>
          <w:sz w:val="32"/>
          <w:szCs w:val="32"/>
          <w:highlight w:val="none"/>
        </w:rPr>
        <w:t>双方一致同意转为结算合约模式，则安全校核部分的电量可转为结算合约，纳入合约电量电费结算。</w:t>
      </w:r>
    </w:p>
    <w:p w14:paraId="46E9C70A">
      <w:pPr>
        <w:numPr>
          <w:ilvl w:val="0"/>
          <w:numId w:val="4"/>
        </w:numPr>
        <w:shd w:val="clear"/>
        <w:spacing w:line="560" w:lineRule="exact"/>
        <w:ind w:firstLine="640" w:firstLineChars="200"/>
        <w:rPr>
          <w:rFonts w:hint="eastAsia" w:ascii="仿宋" w:hAnsi="仿宋" w:eastAsia="仿宋" w:cstheme="minorBidi"/>
          <w:sz w:val="32"/>
          <w:szCs w:val="32"/>
          <w:highlight w:val="none"/>
        </w:rPr>
      </w:pPr>
      <w:r>
        <w:rPr>
          <w:rFonts w:hint="eastAsia" w:ascii="仿宋" w:hAnsi="仿宋" w:eastAsia="仿宋" w:cstheme="minorBidi"/>
          <w:sz w:val="32"/>
          <w:szCs w:val="32"/>
          <w:highlight w:val="none"/>
        </w:rPr>
        <w:t>安全校核应当在规定的期限内完成。安全校核未通过时，电力调度机构</w:t>
      </w:r>
      <w:r>
        <w:rPr>
          <w:rFonts w:hint="eastAsia" w:ascii="仿宋" w:hAnsi="仿宋" w:eastAsia="仿宋" w:cstheme="minorBidi"/>
          <w:sz w:val="32"/>
          <w:szCs w:val="32"/>
          <w:highlight w:val="none"/>
          <w:lang w:val="en-US" w:eastAsia="zh-CN"/>
        </w:rPr>
        <w:t>须</w:t>
      </w:r>
      <w:r>
        <w:rPr>
          <w:rFonts w:hint="eastAsia" w:ascii="仿宋" w:hAnsi="仿宋" w:eastAsia="仿宋" w:cstheme="minorBidi"/>
          <w:sz w:val="32"/>
          <w:szCs w:val="32"/>
          <w:highlight w:val="none"/>
        </w:rPr>
        <w:t>出具书面解释，由</w:t>
      </w:r>
      <w:r>
        <w:rPr>
          <w:rFonts w:hint="eastAsia" w:cs="华文仿宋"/>
          <w:sz w:val="32"/>
          <w:szCs w:val="32"/>
          <w:highlight w:val="none"/>
          <w:lang w:val="en-US" w:eastAsia="zh-CN"/>
        </w:rPr>
        <w:t>电力交易机构</w:t>
      </w:r>
      <w:r>
        <w:rPr>
          <w:rFonts w:hint="eastAsia" w:ascii="仿宋" w:hAnsi="仿宋" w:eastAsia="仿宋" w:cstheme="minorBidi"/>
          <w:sz w:val="32"/>
          <w:szCs w:val="32"/>
          <w:highlight w:val="none"/>
        </w:rPr>
        <w:t>予以公布。</w:t>
      </w:r>
    </w:p>
    <w:p w14:paraId="36180505">
      <w:pPr>
        <w:numPr>
          <w:ilvl w:val="0"/>
          <w:numId w:val="4"/>
        </w:numPr>
        <w:shd w:val="clear"/>
        <w:ind w:firstLine="640"/>
        <w:rPr>
          <w:highlight w:val="none"/>
        </w:rPr>
      </w:pPr>
      <w:r>
        <w:rPr>
          <w:rFonts w:hint="eastAsia"/>
          <w:highlight w:val="none"/>
          <w:lang w:eastAsia="zh-CN"/>
        </w:rPr>
        <w:t>经营主体</w:t>
      </w:r>
      <w:r>
        <w:rPr>
          <w:rFonts w:hint="eastAsia"/>
          <w:highlight w:val="none"/>
        </w:rPr>
        <w:t>对安全校核结果存在异议的，应当在结果发布1个工作日内向</w:t>
      </w:r>
      <w:r>
        <w:rPr>
          <w:rFonts w:hint="eastAsia" w:cs="华文仿宋"/>
          <w:sz w:val="32"/>
          <w:szCs w:val="32"/>
          <w:highlight w:val="none"/>
          <w:lang w:val="en-US" w:eastAsia="zh-CN"/>
        </w:rPr>
        <w:t>电力交易机构</w:t>
      </w:r>
      <w:r>
        <w:rPr>
          <w:rFonts w:hint="eastAsia"/>
          <w:highlight w:val="none"/>
        </w:rPr>
        <w:t>提出，由</w:t>
      </w:r>
      <w:r>
        <w:rPr>
          <w:rFonts w:hint="eastAsia" w:cs="华文仿宋"/>
          <w:sz w:val="32"/>
          <w:szCs w:val="32"/>
          <w:highlight w:val="none"/>
          <w:lang w:val="en-US" w:eastAsia="zh-CN"/>
        </w:rPr>
        <w:t>电力交易机构</w:t>
      </w:r>
      <w:r>
        <w:rPr>
          <w:rFonts w:hint="eastAsia"/>
          <w:highlight w:val="none"/>
        </w:rPr>
        <w:t>会同电力调度机构在1个工作日内给予解释。逾期未提出异议的，视为无异议。</w:t>
      </w:r>
    </w:p>
    <w:p w14:paraId="4C241419">
      <w:pPr>
        <w:pStyle w:val="3"/>
        <w:shd w:val="clear"/>
        <w:rPr>
          <w:rFonts w:cs="Times New Roman"/>
          <w:highlight w:val="none"/>
        </w:rPr>
      </w:pPr>
      <w:r>
        <w:rPr>
          <w:rFonts w:hint="eastAsia" w:cs="Times New Roman"/>
          <w:highlight w:val="none"/>
        </w:rPr>
        <w:t>第</w:t>
      </w:r>
      <w:r>
        <w:rPr>
          <w:rFonts w:hint="eastAsia" w:cs="Times New Roman"/>
          <w:highlight w:val="none"/>
          <w:lang w:val="en-US" w:eastAsia="zh-CN"/>
        </w:rPr>
        <w:t>七</w:t>
      </w:r>
      <w:r>
        <w:rPr>
          <w:rFonts w:hint="eastAsia" w:cs="Times New Roman"/>
          <w:highlight w:val="none"/>
        </w:rPr>
        <w:t>章  合同签订与执行</w:t>
      </w:r>
    </w:p>
    <w:p w14:paraId="0A34616D">
      <w:pPr>
        <w:pStyle w:val="4"/>
        <w:shd w:val="clear"/>
        <w:rPr>
          <w:rFonts w:cs="Times New Roman"/>
          <w:highlight w:val="none"/>
        </w:rPr>
      </w:pPr>
      <w:r>
        <w:rPr>
          <w:rFonts w:hint="eastAsia" w:cs="Times New Roman"/>
          <w:highlight w:val="none"/>
        </w:rPr>
        <w:t>第一节  合同签订</w:t>
      </w:r>
    </w:p>
    <w:p w14:paraId="093F5594">
      <w:pPr>
        <w:numPr>
          <w:ilvl w:val="0"/>
          <w:numId w:val="4"/>
        </w:numPr>
        <w:shd w:val="clear"/>
        <w:ind w:firstLine="640"/>
        <w:rPr>
          <w:rFonts w:ascii="仿宋" w:hAnsi="仿宋" w:cs="仿宋"/>
          <w:szCs w:val="32"/>
          <w:highlight w:val="none"/>
        </w:rPr>
      </w:pPr>
      <w:r>
        <w:rPr>
          <w:rFonts w:hint="eastAsia" w:ascii="仿宋" w:hAnsi="仿宋" w:cs="仿宋"/>
          <w:szCs w:val="32"/>
          <w:highlight w:val="none"/>
        </w:rPr>
        <w:t xml:space="preserve"> 各市场成员原则上应当根据交易结果或者政府下达的计划电量，参照合同示范文本签订购售电合同，并在规定时间内提交至电力交易机构。购售电合同中应当明确购电方、售电方、输电方、电量（电力）、电价、执行周期、结算方式、偏差电量计量、违约责任、资金往来信息等内容。</w:t>
      </w:r>
    </w:p>
    <w:p w14:paraId="48B2953A">
      <w:pPr>
        <w:numPr>
          <w:ilvl w:val="0"/>
          <w:numId w:val="4"/>
        </w:numPr>
        <w:shd w:val="clear"/>
        <w:ind w:firstLine="640"/>
        <w:rPr>
          <w:rFonts w:hint="eastAsia" w:ascii="楷体" w:hAnsi="楷体" w:eastAsia="楷体" w:cs="楷体"/>
          <w:szCs w:val="32"/>
          <w:highlight w:val="none"/>
        </w:rPr>
      </w:pPr>
      <w:r>
        <w:rPr>
          <w:rFonts w:hint="eastAsia" w:ascii="仿宋" w:hAnsi="仿宋" w:cs="仿宋"/>
          <w:szCs w:val="32"/>
          <w:highlight w:val="none"/>
        </w:rPr>
        <w:t>购售电合同原则上应当采用电子合同签订，电力交易平台应当满</w:t>
      </w:r>
      <w:r>
        <w:rPr>
          <w:rFonts w:hint="eastAsia" w:ascii="仿宋" w:hAnsi="仿宋" w:eastAsia="仿宋" w:cs="仿宋"/>
          <w:szCs w:val="32"/>
          <w:highlight w:val="none"/>
        </w:rPr>
        <w:t>足国家电子合同有关规定的技术要求，市场成员应当依法使用可靠的电子签名，电子合同与纸质合同具备同等效力。</w:t>
      </w:r>
    </w:p>
    <w:p w14:paraId="266BFE44">
      <w:pPr>
        <w:numPr>
          <w:ilvl w:val="0"/>
          <w:numId w:val="4"/>
        </w:numPr>
        <w:shd w:val="clear"/>
        <w:ind w:firstLine="640"/>
        <w:rPr>
          <w:rFonts w:ascii="仿宋" w:hAnsi="仿宋" w:cs="仿宋"/>
          <w:szCs w:val="32"/>
          <w:highlight w:val="none"/>
        </w:rPr>
      </w:pPr>
      <w:r>
        <w:rPr>
          <w:rFonts w:hint="eastAsia" w:ascii="仿宋" w:hAnsi="仿宋" w:eastAsia="仿宋" w:cs="仿宋"/>
          <w:szCs w:val="32"/>
          <w:highlight w:val="none"/>
        </w:rPr>
        <w:t>在电力交易平台提交、确认的双边协商交易以及参与集中交易产生的结</w:t>
      </w:r>
      <w:r>
        <w:rPr>
          <w:rFonts w:hint="eastAsia" w:ascii="仿宋" w:hAnsi="仿宋" w:cs="仿宋"/>
          <w:szCs w:val="32"/>
          <w:highlight w:val="none"/>
        </w:rPr>
        <w:t>果，各相关市场成员可将电力交易机构出具的电子交易确认单（视同为电子合同）作为执行依据。</w:t>
      </w:r>
    </w:p>
    <w:p w14:paraId="5EEF6DAB">
      <w:pPr>
        <w:pStyle w:val="4"/>
        <w:shd w:val="clear"/>
        <w:rPr>
          <w:rFonts w:cs="Times New Roman"/>
          <w:highlight w:val="none"/>
        </w:rPr>
      </w:pPr>
      <w:r>
        <w:rPr>
          <w:rFonts w:hint="eastAsia" w:cs="Times New Roman"/>
          <w:highlight w:val="none"/>
        </w:rPr>
        <w:t>第二节  优先发电合同</w:t>
      </w:r>
    </w:p>
    <w:p w14:paraId="3BC7924A">
      <w:pPr>
        <w:numPr>
          <w:ilvl w:val="0"/>
          <w:numId w:val="4"/>
        </w:numPr>
        <w:shd w:val="clear"/>
        <w:ind w:firstLine="640"/>
        <w:rPr>
          <w:rFonts w:hint="eastAsia" w:ascii="仿宋" w:hAnsi="仿宋" w:cs="仿宋"/>
          <w:spacing w:val="0"/>
          <w:szCs w:val="32"/>
          <w:highlight w:val="none"/>
        </w:rPr>
      </w:pPr>
      <w:r>
        <w:rPr>
          <w:rFonts w:hint="eastAsia" w:ascii="仿宋" w:hAnsi="仿宋" w:cs="仿宋"/>
          <w:szCs w:val="32"/>
          <w:highlight w:val="none"/>
        </w:rPr>
        <w:t>跨区跨省的政府间协议原则上在上一年度的</w:t>
      </w:r>
      <w:r>
        <w:rPr>
          <w:rFonts w:hint="eastAsia" w:ascii="仿宋" w:hAnsi="仿宋" w:cs="仿宋"/>
          <w:szCs w:val="32"/>
          <w:highlight w:val="none"/>
          <w:lang w:val="en-US" w:eastAsia="zh-CN"/>
        </w:rPr>
        <w:t>11月底</w:t>
      </w:r>
      <w:r>
        <w:rPr>
          <w:rFonts w:hint="eastAsia" w:ascii="仿宋" w:hAnsi="仿宋" w:cs="仿宋"/>
          <w:szCs w:val="32"/>
          <w:highlight w:val="none"/>
        </w:rPr>
        <w:t>前预测和下达总体电力电量规模和分月计划，由购售双方签订相应的购售电合同。合同需约定年度电量规模以及分月计划、送受电曲线或者确定曲线的原则、</w:t>
      </w:r>
      <w:r>
        <w:rPr>
          <w:rFonts w:hint="eastAsia" w:ascii="仿宋" w:hAnsi="仿宋" w:cs="仿宋"/>
          <w:spacing w:val="-4"/>
          <w:szCs w:val="32"/>
          <w:highlight w:val="none"/>
        </w:rPr>
        <w:t>交易价格等，纳入优</w:t>
      </w:r>
      <w:r>
        <w:rPr>
          <w:rFonts w:hint="eastAsia" w:ascii="仿宋" w:hAnsi="仿宋" w:cs="仿宋"/>
          <w:spacing w:val="0"/>
          <w:szCs w:val="32"/>
          <w:highlight w:val="none"/>
        </w:rPr>
        <w:t>先发电计划，并优先安排输电通道。年度电量规模以及分月计划可根据实际执行情况，由购售双方协商调整。</w:t>
      </w:r>
    </w:p>
    <w:p w14:paraId="24FC2EE1">
      <w:pPr>
        <w:numPr>
          <w:ilvl w:val="0"/>
          <w:numId w:val="4"/>
        </w:numPr>
        <w:shd w:val="clear"/>
        <w:ind w:firstLine="640"/>
        <w:rPr>
          <w:rFonts w:hint="eastAsia" w:ascii="仿宋" w:hAnsi="仿宋" w:cs="仿宋"/>
          <w:szCs w:val="32"/>
          <w:highlight w:val="none"/>
        </w:rPr>
      </w:pPr>
      <w:r>
        <w:rPr>
          <w:rFonts w:hint="eastAsia" w:ascii="仿宋" w:hAnsi="仿宋" w:cs="仿宋"/>
          <w:szCs w:val="32"/>
          <w:highlight w:val="none"/>
        </w:rPr>
        <w:t>对于省内优先发电计划，结合电网安全、供需形势、电源结构等因素，科学安排优先发电电量，不得将上述电量安排在指定时段内集中执行，也不得将上述电量作为调节市场自由竞争的手段。</w:t>
      </w:r>
    </w:p>
    <w:p w14:paraId="3736B672">
      <w:pPr>
        <w:numPr>
          <w:ilvl w:val="0"/>
          <w:numId w:val="4"/>
        </w:numPr>
        <w:shd w:val="clear"/>
        <w:ind w:firstLine="640"/>
        <w:rPr>
          <w:rFonts w:hint="eastAsia" w:ascii="仿宋" w:hAnsi="仿宋" w:cs="仿宋"/>
          <w:spacing w:val="0"/>
          <w:szCs w:val="32"/>
          <w:highlight w:val="none"/>
        </w:rPr>
      </w:pPr>
      <w:r>
        <w:rPr>
          <w:rFonts w:hint="eastAsia" w:ascii="仿宋" w:hAnsi="仿宋" w:cs="仿宋"/>
          <w:szCs w:val="32"/>
          <w:highlight w:val="none"/>
        </w:rPr>
        <w:t>省内优先发电电量，原则上在每年年度双边协商交易开始前，</w:t>
      </w:r>
      <w:r>
        <w:rPr>
          <w:rFonts w:hint="eastAsia" w:ascii="仿宋" w:hAnsi="仿宋" w:cs="仿宋"/>
          <w:spacing w:val="0"/>
          <w:szCs w:val="32"/>
          <w:highlight w:val="none"/>
        </w:rPr>
        <w:t>对执行政府定价的电量签订厂网间年度购售电合同，约定年度电量规模以及分月计划、交易价格等。</w:t>
      </w:r>
      <w:r>
        <w:rPr>
          <w:rFonts w:hint="eastAsia" w:ascii="仿宋" w:hAnsi="仿宋" w:eastAsia="仿宋" w:cs="仿宋"/>
          <w:szCs w:val="32"/>
          <w:highlight w:val="none"/>
        </w:rPr>
        <w:t>年度交易开始前仍未确定优先发电的，可参考历史情况测算，预留优先发电空间，确保市场交易正常开展。</w:t>
      </w:r>
    </w:p>
    <w:p w14:paraId="6AABF7E9">
      <w:pPr>
        <w:numPr>
          <w:ilvl w:val="0"/>
          <w:numId w:val="4"/>
        </w:numPr>
        <w:shd w:val="clear"/>
        <w:ind w:firstLine="640"/>
        <w:rPr>
          <w:rFonts w:ascii="仿宋" w:hAnsi="仿宋" w:cs="仿宋"/>
          <w:szCs w:val="32"/>
          <w:highlight w:val="none"/>
        </w:rPr>
      </w:pPr>
      <w:r>
        <w:rPr>
          <w:rFonts w:hint="eastAsia" w:ascii="仿宋" w:hAnsi="仿宋" w:cs="仿宋"/>
          <w:szCs w:val="32"/>
          <w:highlight w:val="none"/>
        </w:rPr>
        <w:t>采用“保量保价”和“保量竞价”相结合的方式，推动优先发电参与市场，应放尽放，实现优先发电与优先购电规模相匹配。</w:t>
      </w:r>
    </w:p>
    <w:p w14:paraId="3274633C">
      <w:pPr>
        <w:pStyle w:val="4"/>
        <w:shd w:val="clear"/>
        <w:rPr>
          <w:rFonts w:cs="Times New Roman"/>
          <w:highlight w:val="none"/>
        </w:rPr>
      </w:pPr>
      <w:r>
        <w:rPr>
          <w:rFonts w:hint="eastAsia" w:cs="Times New Roman"/>
          <w:highlight w:val="none"/>
        </w:rPr>
        <w:t>第三节  合同执行</w:t>
      </w:r>
    </w:p>
    <w:p w14:paraId="4D501040">
      <w:pPr>
        <w:numPr>
          <w:ilvl w:val="0"/>
          <w:numId w:val="4"/>
        </w:numPr>
        <w:shd w:val="clear"/>
        <w:ind w:firstLine="640"/>
        <w:rPr>
          <w:rFonts w:ascii="仿宋" w:hAnsi="仿宋" w:cs="仿宋"/>
          <w:szCs w:val="32"/>
          <w:highlight w:val="none"/>
        </w:rPr>
      </w:pPr>
      <w:r>
        <w:rPr>
          <w:rFonts w:hint="eastAsia" w:ascii="仿宋" w:hAnsi="仿宋" w:cs="仿宋"/>
          <w:szCs w:val="32"/>
          <w:highlight w:val="none"/>
        </w:rPr>
        <w:t>电力交易机构汇总省内市场成员参与的各类交易合同（含优先发电合同、市场交易合同），形成省内发电企业的月度发电计划，并依据月内（多日）交易，进行更新和调整。电力调度机构应当根据经安全校核后</w:t>
      </w:r>
      <w:r>
        <w:rPr>
          <w:rFonts w:hint="eastAsia" w:ascii="仿宋" w:hAnsi="仿宋" w:cs="仿宋"/>
          <w:szCs w:val="32"/>
          <w:highlight w:val="none"/>
          <w:lang w:eastAsia="zh-CN"/>
        </w:rPr>
        <w:t>（</w:t>
      </w:r>
      <w:r>
        <w:rPr>
          <w:rFonts w:hint="eastAsia" w:ascii="仿宋" w:hAnsi="仿宋" w:cs="仿宋"/>
          <w:szCs w:val="32"/>
          <w:highlight w:val="none"/>
          <w:lang w:val="en-US" w:eastAsia="zh-CN"/>
        </w:rPr>
        <w:t>现货运行期间不开展</w:t>
      </w:r>
      <w:r>
        <w:rPr>
          <w:rFonts w:hint="eastAsia" w:ascii="仿宋" w:hAnsi="仿宋" w:cs="仿宋"/>
          <w:szCs w:val="32"/>
          <w:highlight w:val="none"/>
          <w:lang w:eastAsia="zh-CN"/>
        </w:rPr>
        <w:t>）</w:t>
      </w:r>
      <w:r>
        <w:rPr>
          <w:rFonts w:hint="eastAsia" w:ascii="仿宋" w:hAnsi="仿宋" w:cs="仿宋"/>
          <w:szCs w:val="32"/>
          <w:highlight w:val="none"/>
        </w:rPr>
        <w:t>的（含调整后的）发电计划以及清洁能源消纳需求、保电力供应安全要求，合理安排电网运行方式和机组开机方式。</w:t>
      </w:r>
    </w:p>
    <w:p w14:paraId="037EB640">
      <w:pPr>
        <w:numPr>
          <w:ilvl w:val="0"/>
          <w:numId w:val="4"/>
        </w:numPr>
        <w:shd w:val="clear"/>
        <w:ind w:firstLine="640"/>
        <w:rPr>
          <w:rFonts w:ascii="仿宋" w:hAnsi="仿宋" w:cs="仿宋"/>
          <w:szCs w:val="32"/>
          <w:highlight w:val="none"/>
        </w:rPr>
      </w:pPr>
      <w:r>
        <w:rPr>
          <w:rFonts w:hint="eastAsia" w:ascii="仿宋" w:hAnsi="仿宋" w:cs="仿宋"/>
          <w:szCs w:val="32"/>
          <w:highlight w:val="none"/>
        </w:rPr>
        <w:t>电力交易机构定期跟踪和公布月度（含多日交易调整后的）发电计划完成进度情况。</w:t>
      </w:r>
      <w:r>
        <w:rPr>
          <w:rFonts w:hint="eastAsia" w:ascii="仿宋" w:hAnsi="仿宋" w:cs="仿宋"/>
          <w:szCs w:val="32"/>
          <w:highlight w:val="none"/>
          <w:lang w:eastAsia="zh-CN"/>
        </w:rPr>
        <w:t>经营主体</w:t>
      </w:r>
      <w:r>
        <w:rPr>
          <w:rFonts w:hint="eastAsia" w:ascii="仿宋" w:hAnsi="仿宋" w:cs="仿宋"/>
          <w:szCs w:val="32"/>
          <w:highlight w:val="none"/>
        </w:rPr>
        <w:t>对发电计划完成进度提出异议时，电力调度机构负责出具说明，电力交易机构负责公布相关信息。</w:t>
      </w:r>
    </w:p>
    <w:p w14:paraId="2BA47BCB">
      <w:pPr>
        <w:numPr>
          <w:ilvl w:val="0"/>
          <w:numId w:val="4"/>
        </w:numPr>
        <w:shd w:val="clear"/>
        <w:ind w:firstLine="640"/>
        <w:rPr>
          <w:rFonts w:ascii="仿宋" w:hAnsi="仿宋" w:cs="仿宋"/>
          <w:szCs w:val="32"/>
          <w:highlight w:val="none"/>
        </w:rPr>
      </w:pPr>
      <w:r>
        <w:rPr>
          <w:rFonts w:hint="eastAsia" w:ascii="仿宋" w:hAnsi="仿宋" w:cs="仿宋"/>
          <w:szCs w:val="32"/>
          <w:highlight w:val="none"/>
        </w:rPr>
        <w:t>全部合同约定交易曲线的，按照合同约定曲线形成次日发电计划；部分合同约定交易曲线的，由电力调度机构根据系统运行需要，安排无交易曲线部分的发电曲线，与约定交易曲线的市场化交易合同共同形成次日发电计划。</w:t>
      </w:r>
    </w:p>
    <w:p w14:paraId="1A043851">
      <w:pPr>
        <w:numPr>
          <w:ilvl w:val="0"/>
          <w:numId w:val="4"/>
        </w:numPr>
        <w:shd w:val="clear"/>
        <w:ind w:firstLine="640"/>
        <w:rPr>
          <w:rFonts w:ascii="仿宋" w:hAnsi="仿宋" w:cs="仿宋"/>
          <w:szCs w:val="32"/>
          <w:highlight w:val="none"/>
        </w:rPr>
      </w:pPr>
      <w:r>
        <w:rPr>
          <w:rFonts w:hint="eastAsia" w:ascii="仿宋" w:hAnsi="仿宋" w:cs="仿宋"/>
          <w:szCs w:val="32"/>
          <w:highlight w:val="none"/>
        </w:rPr>
        <w:t>电力系统发生紧急情况时，电力调度机构可基于安全优先的原则实施调度，事后向云南能源监管办、云南省能源局报告事件经过，并向</w:t>
      </w:r>
      <w:r>
        <w:rPr>
          <w:rFonts w:hint="eastAsia" w:ascii="仿宋" w:hAnsi="仿宋" w:cs="仿宋"/>
          <w:szCs w:val="32"/>
          <w:highlight w:val="none"/>
          <w:lang w:eastAsia="zh-CN"/>
        </w:rPr>
        <w:t>经营主体</w:t>
      </w:r>
      <w:r>
        <w:rPr>
          <w:rFonts w:hint="eastAsia" w:ascii="仿宋" w:hAnsi="仿宋" w:cs="仿宋"/>
          <w:szCs w:val="32"/>
          <w:highlight w:val="none"/>
        </w:rPr>
        <w:t>进行相关信息披露。</w:t>
      </w:r>
    </w:p>
    <w:p w14:paraId="209D5101">
      <w:pPr>
        <w:pStyle w:val="3"/>
        <w:shd w:val="clear"/>
        <w:rPr>
          <w:rFonts w:cs="Times New Roman"/>
          <w:highlight w:val="none"/>
        </w:rPr>
      </w:pPr>
      <w:r>
        <w:rPr>
          <w:rFonts w:hint="eastAsia" w:cs="Times New Roman"/>
          <w:highlight w:val="none"/>
        </w:rPr>
        <w:t>第</w:t>
      </w:r>
      <w:r>
        <w:rPr>
          <w:rFonts w:hint="eastAsia" w:cs="Times New Roman"/>
          <w:highlight w:val="none"/>
          <w:lang w:val="en-US" w:eastAsia="zh-CN"/>
        </w:rPr>
        <w:t>八</w:t>
      </w:r>
      <w:r>
        <w:rPr>
          <w:rFonts w:hint="eastAsia" w:cs="Times New Roman"/>
          <w:highlight w:val="none"/>
        </w:rPr>
        <w:t>章  计量和结算</w:t>
      </w:r>
    </w:p>
    <w:p w14:paraId="396C5333">
      <w:pPr>
        <w:pStyle w:val="4"/>
        <w:shd w:val="clear"/>
        <w:rPr>
          <w:rFonts w:cs="Times New Roman"/>
          <w:highlight w:val="none"/>
        </w:rPr>
      </w:pPr>
      <w:r>
        <w:rPr>
          <w:rFonts w:hint="eastAsia" w:cs="Times New Roman"/>
          <w:highlight w:val="none"/>
        </w:rPr>
        <w:t>第一节  计量</w:t>
      </w:r>
    </w:p>
    <w:p w14:paraId="64C7FE72">
      <w:pPr>
        <w:numPr>
          <w:ilvl w:val="0"/>
          <w:numId w:val="4"/>
        </w:numPr>
        <w:shd w:val="clear"/>
        <w:ind w:firstLine="640"/>
        <w:rPr>
          <w:rFonts w:ascii="仿宋" w:hAnsi="仿宋" w:cs="仿宋"/>
          <w:szCs w:val="32"/>
          <w:highlight w:val="none"/>
        </w:rPr>
      </w:pPr>
      <w:r>
        <w:rPr>
          <w:rFonts w:hint="eastAsia" w:ascii="仿宋" w:hAnsi="仿宋" w:cs="仿宋"/>
          <w:szCs w:val="32"/>
          <w:highlight w:val="none"/>
        </w:rPr>
        <w:t>电网企业应当根据市场运行需要为</w:t>
      </w:r>
      <w:r>
        <w:rPr>
          <w:rFonts w:hint="eastAsia" w:ascii="仿宋" w:hAnsi="仿宋" w:cs="仿宋"/>
          <w:szCs w:val="32"/>
          <w:highlight w:val="none"/>
          <w:lang w:eastAsia="zh-CN"/>
        </w:rPr>
        <w:t>经营主体</w:t>
      </w:r>
      <w:r>
        <w:rPr>
          <w:rFonts w:hint="eastAsia" w:ascii="仿宋" w:hAnsi="仿宋" w:cs="仿宋"/>
          <w:szCs w:val="32"/>
          <w:highlight w:val="none"/>
        </w:rPr>
        <w:t>安装符合技术规范的计量装置；计量装置原则上安装在产权分界点，产权分界点无法安装计量装置的，考虑相应的变（线）损。电网企业应当在跨区跨省输电线路两端安装符合技术规范的计量装置，跨区跨省交易均应当明确其结算对应计量点。</w:t>
      </w:r>
    </w:p>
    <w:p w14:paraId="627F13B1">
      <w:pPr>
        <w:numPr>
          <w:ilvl w:val="0"/>
          <w:numId w:val="4"/>
        </w:numPr>
        <w:shd w:val="clear"/>
        <w:ind w:firstLine="640"/>
        <w:rPr>
          <w:rFonts w:ascii="仿宋" w:hAnsi="仿宋" w:cs="仿宋"/>
          <w:szCs w:val="32"/>
          <w:highlight w:val="none"/>
        </w:rPr>
      </w:pPr>
      <w:r>
        <w:rPr>
          <w:rFonts w:hint="eastAsia" w:ascii="仿宋" w:hAnsi="仿宋" w:cs="仿宋"/>
          <w:szCs w:val="32"/>
          <w:highlight w:val="none"/>
        </w:rPr>
        <w:t>计量周期和抄表时间应当保证最小交易周期的结算需要，保证计量数据准确、完整。</w:t>
      </w:r>
    </w:p>
    <w:p w14:paraId="170DAFEB">
      <w:pPr>
        <w:numPr>
          <w:ilvl w:val="0"/>
          <w:numId w:val="4"/>
        </w:numPr>
        <w:shd w:val="clear"/>
        <w:ind w:firstLine="640"/>
        <w:rPr>
          <w:rFonts w:ascii="仿宋" w:hAnsi="仿宋" w:cs="仿宋"/>
          <w:szCs w:val="32"/>
          <w:highlight w:val="none"/>
        </w:rPr>
      </w:pPr>
      <w:r>
        <w:rPr>
          <w:rFonts w:hint="eastAsia" w:ascii="仿宋" w:hAnsi="仿宋" w:cs="仿宋"/>
          <w:szCs w:val="32"/>
          <w:highlight w:val="none"/>
        </w:rPr>
        <w:t>发电企业、跨区跨省交易送受端计量点应当安装相同型号、相同规格、相同精度的主、副电能表各一套，主、副表应当有明确</w:t>
      </w:r>
      <w:r>
        <w:rPr>
          <w:rFonts w:hint="eastAsia" w:ascii="仿宋" w:hAnsi="仿宋" w:cs="仿宋"/>
          <w:szCs w:val="32"/>
          <w:highlight w:val="none"/>
          <w:lang w:eastAsia="zh-CN"/>
        </w:rPr>
        <w:t>标识</w:t>
      </w:r>
      <w:r>
        <w:rPr>
          <w:rFonts w:hint="eastAsia" w:ascii="仿宋" w:hAnsi="仿宋" w:cs="仿宋"/>
          <w:szCs w:val="32"/>
          <w:highlight w:val="none"/>
        </w:rPr>
        <w:t>，以主表计量数据作为结算依据，副表计量数据作为参照，当确认主表故障后，副表计量数据替代主表计量数据作为电量结算依据。</w:t>
      </w:r>
    </w:p>
    <w:p w14:paraId="78A4A645">
      <w:pPr>
        <w:numPr>
          <w:ilvl w:val="0"/>
          <w:numId w:val="4"/>
        </w:numPr>
        <w:shd w:val="clear"/>
        <w:ind w:firstLine="640"/>
        <w:rPr>
          <w:highlight w:val="none"/>
        </w:rPr>
      </w:pPr>
      <w:r>
        <w:rPr>
          <w:rFonts w:hint="eastAsia"/>
          <w:highlight w:val="none"/>
        </w:rPr>
        <w:t>多台发电机组共用计量点且无法拆分，各</w:t>
      </w:r>
      <w:r>
        <w:rPr>
          <w:rFonts w:hint="eastAsia" w:ascii="仿宋" w:hAnsi="仿宋" w:cs="仿宋"/>
          <w:szCs w:val="32"/>
          <w:highlight w:val="none"/>
        </w:rPr>
        <w:t>发电机组</w:t>
      </w:r>
      <w:r>
        <w:rPr>
          <w:rFonts w:hint="eastAsia"/>
          <w:highlight w:val="none"/>
        </w:rPr>
        <w:t>需分别结算时，按照每台机组的实际发电量等比例计算各自上网电量。对于风电、光伏发电企业处于相同运行状态的不同项目批次共用计量点的机组，可按照不同项目批次参考计量点、额定容量比例或事前电厂自行确定分解比例计算各自上网电量。</w:t>
      </w:r>
    </w:p>
    <w:p w14:paraId="32C64813">
      <w:pPr>
        <w:shd w:val="clear"/>
        <w:ind w:firstLine="640" w:firstLineChars="0"/>
        <w:rPr>
          <w:highlight w:val="none"/>
        </w:rPr>
      </w:pPr>
      <w:r>
        <w:rPr>
          <w:rFonts w:hint="eastAsia" w:ascii="仿宋" w:hAnsi="仿宋" w:cs="仿宋"/>
          <w:szCs w:val="32"/>
          <w:highlight w:val="none"/>
        </w:rPr>
        <w:t>处于调试期的机组，如果和其他机组共用计量点，按照机组调试期的发电量等比例拆分共用计量点的上网电量，确定调试期的上网电量。</w:t>
      </w:r>
    </w:p>
    <w:p w14:paraId="64111093">
      <w:pPr>
        <w:numPr>
          <w:ilvl w:val="0"/>
          <w:numId w:val="4"/>
        </w:numPr>
        <w:shd w:val="clear"/>
        <w:ind w:firstLine="640"/>
        <w:rPr>
          <w:highlight w:val="none"/>
        </w:rPr>
      </w:pPr>
      <w:r>
        <w:rPr>
          <w:rFonts w:hint="eastAsia"/>
          <w:highlight w:val="none"/>
        </w:rPr>
        <w:t>电网企业应当按照电力市场结算要求定期抄录发电企业（机组）和电力用户电能计量装置数据，并将可用于结算的计量数据提交电力交易机构。执行分时结算的，电网企业应提供发电企业（机组）和电力用户的分时计量数据，不具备分时计量条件的用户，用电曲线可按照年度公布的典型曲线分解方式形成。对计量数据存在疑义时，由具有相应资质的电能计量检测机构确认并出具报告，由电网企业组织相关市场成员协商解决。</w:t>
      </w:r>
    </w:p>
    <w:p w14:paraId="1B28C0F5">
      <w:pPr>
        <w:numPr>
          <w:ilvl w:val="0"/>
          <w:numId w:val="4"/>
        </w:numPr>
        <w:shd w:val="clear"/>
        <w:ind w:firstLine="640"/>
        <w:rPr>
          <w:highlight w:val="none"/>
        </w:rPr>
      </w:pPr>
      <w:r>
        <w:rPr>
          <w:rFonts w:hint="eastAsia"/>
          <w:highlight w:val="none"/>
        </w:rPr>
        <w:t>电网企业应当为参与现货市场的发电企业、电力用户计量点配置符合国家标准的计量装置，满足电力现货市场对计量数据的采集频次、成功率和存储等要求。计量装置满足经营主体要求后，在以后的改造（含更换）过程中不应降低其技术要求</w:t>
      </w:r>
      <w:r>
        <w:rPr>
          <w:rFonts w:hint="eastAsia"/>
          <w:highlight w:val="none"/>
          <w:lang w:eastAsia="zh-CN"/>
        </w:rPr>
        <w:t>。</w:t>
      </w:r>
    </w:p>
    <w:p w14:paraId="06AA9279">
      <w:pPr>
        <w:pStyle w:val="4"/>
        <w:shd w:val="clear"/>
        <w:rPr>
          <w:rFonts w:cs="Times New Roman"/>
          <w:highlight w:val="none"/>
        </w:rPr>
      </w:pPr>
      <w:r>
        <w:rPr>
          <w:rFonts w:hint="eastAsia" w:cs="Times New Roman"/>
          <w:highlight w:val="none"/>
        </w:rPr>
        <w:t>第二节  结算</w:t>
      </w:r>
    </w:p>
    <w:p w14:paraId="1C3AFC81">
      <w:pPr>
        <w:numPr>
          <w:ilvl w:val="0"/>
          <w:numId w:val="4"/>
        </w:numPr>
        <w:shd w:val="clear"/>
        <w:ind w:firstLine="640"/>
        <w:rPr>
          <w:highlight w:val="none"/>
        </w:rPr>
      </w:pPr>
      <w:r>
        <w:rPr>
          <w:rFonts w:hint="eastAsia"/>
          <w:highlight w:val="none"/>
        </w:rPr>
        <w:t>电力交易机构负责向市场成员出具结算依据，市场成员根据相关规则进行电费结算。其中，跨区跨省交易由组织该交易的电力交易机构会同送受端电力交易机构向市场成员出具结算依据。</w:t>
      </w:r>
    </w:p>
    <w:p w14:paraId="71F71B92">
      <w:pPr>
        <w:numPr>
          <w:ilvl w:val="0"/>
          <w:numId w:val="4"/>
        </w:numPr>
        <w:shd w:val="clear"/>
        <w:ind w:firstLine="640"/>
        <w:rPr>
          <w:highlight w:val="none"/>
        </w:rPr>
      </w:pPr>
      <w:r>
        <w:rPr>
          <w:rFonts w:hint="eastAsia"/>
          <w:highlight w:val="none"/>
        </w:rPr>
        <w:t>电网企业负责</w:t>
      </w:r>
      <w:r>
        <w:rPr>
          <w:rFonts w:hint="eastAsia"/>
          <w:highlight w:val="none"/>
          <w:lang w:eastAsia="zh-CN"/>
        </w:rPr>
        <w:t>经营主体</w:t>
      </w:r>
      <w:r>
        <w:rPr>
          <w:rFonts w:hint="eastAsia"/>
          <w:highlight w:val="none"/>
        </w:rPr>
        <w:t>交易周期内实际电量的确认，按期向电力</w:t>
      </w:r>
      <w:r>
        <w:rPr>
          <w:rFonts w:hint="eastAsia" w:ascii="仿宋" w:hAnsi="仿宋" w:cs="仿宋"/>
          <w:szCs w:val="32"/>
          <w:highlight w:val="none"/>
        </w:rPr>
        <w:t>交易</w:t>
      </w:r>
      <w:r>
        <w:rPr>
          <w:rFonts w:hint="eastAsia"/>
          <w:highlight w:val="none"/>
        </w:rPr>
        <w:t>机构提供发电企业和电力用户交易周期内（月、日）实际电量。发电企业以交易周期内的实际上网电量作为计费依据；电力用户、售电公司以交易周期内的实际用电量作为计费依据，售电公司用电量为其全部签约零售用户用电量之和。</w:t>
      </w:r>
    </w:p>
    <w:p w14:paraId="15166D9C">
      <w:pPr>
        <w:numPr>
          <w:ilvl w:val="0"/>
          <w:numId w:val="4"/>
        </w:numPr>
        <w:shd w:val="clear"/>
        <w:ind w:firstLine="640"/>
        <w:rPr>
          <w:highlight w:val="none"/>
        </w:rPr>
      </w:pPr>
      <w:r>
        <w:rPr>
          <w:rFonts w:hint="eastAsia"/>
          <w:highlight w:val="none"/>
        </w:rPr>
        <w:t>电网</w:t>
      </w:r>
      <w:r>
        <w:rPr>
          <w:rFonts w:hint="eastAsia" w:ascii="仿宋" w:hAnsi="仿宋" w:cs="仿宋"/>
          <w:szCs w:val="32"/>
          <w:highlight w:val="none"/>
        </w:rPr>
        <w:t>企业</w:t>
      </w:r>
      <w:r>
        <w:rPr>
          <w:rFonts w:hint="eastAsia"/>
          <w:highlight w:val="none"/>
        </w:rPr>
        <w:t>（含地方电网企业和配售电企业）之间结算的输配电费用，按照政府价格主管部门核定的输配电价和实际物理计量电量结算。</w:t>
      </w:r>
    </w:p>
    <w:p w14:paraId="2D5BC761">
      <w:pPr>
        <w:numPr>
          <w:ilvl w:val="0"/>
          <w:numId w:val="4"/>
        </w:numPr>
        <w:shd w:val="clear"/>
        <w:ind w:firstLine="640"/>
        <w:rPr>
          <w:rFonts w:eastAsia="楷体"/>
          <w:sz w:val="24"/>
          <w:highlight w:val="none"/>
        </w:rPr>
      </w:pPr>
      <w:r>
        <w:rPr>
          <w:rFonts w:hint="eastAsia"/>
          <w:highlight w:val="none"/>
        </w:rPr>
        <w:t>发电企业上网电量电费由电网企业支付；电力用户向电网企业缴纳电费，并由电网企业承担电力用户侧欠费风险；售电公司按照电力交易机构出具的结算依据与电网企业进行结算。</w:t>
      </w:r>
      <w:r>
        <w:rPr>
          <w:rFonts w:hint="eastAsia"/>
          <w:highlight w:val="none"/>
          <w:lang w:eastAsia="zh-CN"/>
        </w:rPr>
        <w:t>经营主体</w:t>
      </w:r>
      <w:r>
        <w:rPr>
          <w:rFonts w:hint="eastAsia"/>
          <w:highlight w:val="none"/>
        </w:rPr>
        <w:t>可自行约定结算方式，未</w:t>
      </w:r>
      <w:r>
        <w:rPr>
          <w:rFonts w:hint="eastAsia"/>
          <w:spacing w:val="-17"/>
          <w:highlight w:val="none"/>
        </w:rPr>
        <w:t>与电网企业签订委托代理结算协议的，电网企业不承担欠费风险。</w:t>
      </w:r>
    </w:p>
    <w:p w14:paraId="4631D694">
      <w:pPr>
        <w:numPr>
          <w:ilvl w:val="0"/>
          <w:numId w:val="4"/>
        </w:numPr>
        <w:shd w:val="clear"/>
        <w:ind w:firstLine="640"/>
        <w:rPr>
          <w:highlight w:val="none"/>
        </w:rPr>
      </w:pPr>
      <w:r>
        <w:rPr>
          <w:rFonts w:hint="eastAsia"/>
          <w:highlight w:val="none"/>
        </w:rPr>
        <w:t>电力用户的基本电</w:t>
      </w:r>
      <w:r>
        <w:rPr>
          <w:highlight w:val="none"/>
        </w:rPr>
        <w:t>价</w:t>
      </w:r>
      <w:r>
        <w:rPr>
          <w:rFonts w:hint="eastAsia"/>
          <w:highlight w:val="none"/>
        </w:rPr>
        <w:t>、政府性基金及附加、峰谷分时电价、功率因数调整等按照电压等级和类别按实收取，上述费用均由电网企业根据国家以及云南省有关规定进行结算。</w:t>
      </w:r>
    </w:p>
    <w:p w14:paraId="312D66BD">
      <w:pPr>
        <w:numPr>
          <w:ilvl w:val="0"/>
          <w:numId w:val="4"/>
        </w:numPr>
        <w:shd w:val="clear"/>
        <w:ind w:firstLine="640"/>
        <w:rPr>
          <w:highlight w:val="none"/>
        </w:rPr>
      </w:pPr>
      <w:r>
        <w:rPr>
          <w:rFonts w:hint="eastAsia"/>
          <w:highlight w:val="none"/>
        </w:rPr>
        <w:t>电力交易机构向各市场成员提供的结算依据包括但不限于以下内容：</w:t>
      </w:r>
    </w:p>
    <w:p w14:paraId="6BA7A750">
      <w:pPr>
        <w:shd w:val="clear"/>
        <w:ind w:firstLine="640"/>
        <w:rPr>
          <w:highlight w:val="none"/>
        </w:rPr>
      </w:pPr>
      <w:r>
        <w:rPr>
          <w:rFonts w:hint="eastAsia"/>
          <w:highlight w:val="none"/>
        </w:rPr>
        <w:t>（一）实际结算电量；</w:t>
      </w:r>
    </w:p>
    <w:p w14:paraId="09AF17E2">
      <w:pPr>
        <w:shd w:val="clear"/>
        <w:ind w:firstLine="640"/>
        <w:rPr>
          <w:highlight w:val="none"/>
        </w:rPr>
      </w:pPr>
      <w:r>
        <w:rPr>
          <w:rFonts w:hint="eastAsia"/>
          <w:highlight w:val="none"/>
        </w:rPr>
        <w:t>（二）各类交易合同（含优先发电合同、基数电量合同、市场交易合同）电量、电价和电费；</w:t>
      </w:r>
    </w:p>
    <w:p w14:paraId="43516ED4">
      <w:pPr>
        <w:shd w:val="clear"/>
        <w:ind w:firstLine="640"/>
        <w:rPr>
          <w:highlight w:val="none"/>
        </w:rPr>
      </w:pPr>
      <w:r>
        <w:rPr>
          <w:rFonts w:hint="eastAsia"/>
          <w:highlight w:val="none"/>
        </w:rPr>
        <w:t>（三）偏差电量、电价和电费，分摊的结算资金差额或者盈余等信息；</w:t>
      </w:r>
    </w:p>
    <w:p w14:paraId="76293D34">
      <w:pPr>
        <w:shd w:val="clear"/>
        <w:ind w:firstLine="640"/>
        <w:rPr>
          <w:highlight w:val="none"/>
        </w:rPr>
      </w:pPr>
      <w:r>
        <w:rPr>
          <w:rFonts w:hint="eastAsia"/>
          <w:highlight w:val="none"/>
        </w:rPr>
        <w:t>（四）新机组调试电量、电价、电费；</w:t>
      </w:r>
    </w:p>
    <w:p w14:paraId="1905AE72">
      <w:pPr>
        <w:shd w:val="clear"/>
        <w:ind w:firstLine="640"/>
        <w:rPr>
          <w:highlight w:val="none"/>
        </w:rPr>
      </w:pPr>
      <w:r>
        <w:rPr>
          <w:rFonts w:hint="eastAsia"/>
          <w:highlight w:val="none"/>
        </w:rPr>
        <w:t>（五）接受售电公司委托出具的零售交易结算依据。</w:t>
      </w:r>
    </w:p>
    <w:p w14:paraId="7CB71126">
      <w:pPr>
        <w:numPr>
          <w:ilvl w:val="0"/>
          <w:numId w:val="4"/>
        </w:numPr>
        <w:shd w:val="clear"/>
        <w:ind w:firstLine="640"/>
        <w:rPr>
          <w:spacing w:val="-8"/>
          <w:highlight w:val="none"/>
        </w:rPr>
      </w:pPr>
      <w:r>
        <w:rPr>
          <w:rFonts w:hint="eastAsia"/>
          <w:highlight w:val="none"/>
          <w:lang w:eastAsia="zh-CN"/>
        </w:rPr>
        <w:t>经营主体</w:t>
      </w:r>
      <w:r>
        <w:rPr>
          <w:rFonts w:hint="eastAsia"/>
          <w:spacing w:val="-8"/>
          <w:highlight w:val="none"/>
        </w:rPr>
        <w:t>因偏差电量引起的电费资金，暂由电网企业收取和支付，并应当在电费结算依据中单项列示。</w:t>
      </w:r>
    </w:p>
    <w:p w14:paraId="19EFF56E">
      <w:pPr>
        <w:numPr>
          <w:ilvl w:val="0"/>
          <w:numId w:val="4"/>
        </w:numPr>
        <w:shd w:val="clear"/>
        <w:ind w:firstLine="640"/>
        <w:rPr>
          <w:highlight w:val="none"/>
        </w:rPr>
      </w:pPr>
      <w:r>
        <w:rPr>
          <w:rFonts w:hint="eastAsia"/>
          <w:highlight w:val="none"/>
        </w:rPr>
        <w:t>发电</w:t>
      </w:r>
      <w:r>
        <w:rPr>
          <w:rFonts w:hint="eastAsia" w:ascii="仿宋" w:hAnsi="仿宋" w:cs="仿宋"/>
          <w:szCs w:val="32"/>
          <w:highlight w:val="none"/>
        </w:rPr>
        <w:t>企业</w:t>
      </w:r>
      <w:r>
        <w:rPr>
          <w:rFonts w:hint="eastAsia"/>
          <w:highlight w:val="none"/>
        </w:rPr>
        <w:t>结算基本原则：</w:t>
      </w:r>
    </w:p>
    <w:p w14:paraId="60BAA08D">
      <w:pPr>
        <w:shd w:val="clear"/>
        <w:ind w:firstLine="640"/>
        <w:rPr>
          <w:rFonts w:hint="default" w:eastAsia="仿宋"/>
          <w:highlight w:val="none"/>
          <w:lang w:val="en-US" w:eastAsia="zh-CN"/>
        </w:rPr>
      </w:pPr>
      <w:r>
        <w:rPr>
          <w:rFonts w:hint="eastAsia"/>
          <w:highlight w:val="none"/>
        </w:rPr>
        <w:t>（一）发电企业</w:t>
      </w:r>
      <w:r>
        <w:rPr>
          <w:rFonts w:hint="eastAsia"/>
          <w:highlight w:val="none"/>
          <w:lang w:val="en-US" w:eastAsia="zh-CN"/>
        </w:rPr>
        <w:t>的</w:t>
      </w:r>
      <w:r>
        <w:rPr>
          <w:rFonts w:hint="eastAsia"/>
          <w:highlight w:val="none"/>
        </w:rPr>
        <w:t>中长期分时段结算按照</w:t>
      </w:r>
      <w:r>
        <w:rPr>
          <w:rFonts w:hint="eastAsia" w:ascii="仿宋" w:hAnsi="仿宋" w:eastAsia="仿宋" w:cs="仿宋"/>
          <w:sz w:val="32"/>
          <w:szCs w:val="32"/>
          <w:highlight w:val="none"/>
          <w:lang w:val="en-US" w:eastAsia="zh-CN"/>
        </w:rPr>
        <w:t>小时为</w:t>
      </w:r>
      <w:r>
        <w:rPr>
          <w:rFonts w:hint="eastAsia" w:ascii="仿宋" w:hAnsi="仿宋" w:cs="仿宋"/>
          <w:sz w:val="32"/>
          <w:szCs w:val="32"/>
          <w:highlight w:val="none"/>
          <w:lang w:val="en-US" w:eastAsia="zh-CN"/>
        </w:rPr>
        <w:t>最小</w:t>
      </w:r>
      <w:r>
        <w:rPr>
          <w:rFonts w:hint="eastAsia"/>
          <w:highlight w:val="none"/>
        </w:rPr>
        <w:t>交易结算时段，对各类合同电量均按同一顺序进行结算</w:t>
      </w:r>
      <w:r>
        <w:rPr>
          <w:rFonts w:hint="eastAsia"/>
          <w:highlight w:val="none"/>
          <w:lang w:eastAsia="zh-CN"/>
        </w:rPr>
        <w:t>，</w:t>
      </w:r>
      <w:r>
        <w:rPr>
          <w:rFonts w:hint="eastAsia" w:ascii="仿宋" w:hAnsi="仿宋" w:eastAsia="仿宋" w:cs="仿宋"/>
          <w:sz w:val="32"/>
          <w:szCs w:val="32"/>
          <w:highlight w:val="none"/>
          <w:lang w:val="en-US" w:eastAsia="zh-CN"/>
        </w:rPr>
        <w:t>采用“日清月结”的结算模式，</w:t>
      </w:r>
      <w:r>
        <w:rPr>
          <w:rFonts w:hint="eastAsia"/>
          <w:highlight w:val="none"/>
          <w:lang w:val="en-US" w:eastAsia="zh-CN"/>
        </w:rPr>
        <w:t>按照“中长期合约照付不议，事后偏差结算”的原则开展结算</w:t>
      </w:r>
      <w:r>
        <w:rPr>
          <w:rFonts w:hint="eastAsia"/>
          <w:highlight w:val="none"/>
        </w:rPr>
        <w:t>。</w:t>
      </w:r>
      <w:r>
        <w:rPr>
          <w:rFonts w:hint="eastAsia"/>
          <w:highlight w:val="none"/>
          <w:lang w:val="en-US" w:eastAsia="zh-CN"/>
        </w:rPr>
        <w:t>现货运行期间，则按照现货规则明确的三部制结算原则等开展现货结算。</w:t>
      </w:r>
    </w:p>
    <w:p w14:paraId="1808E08F">
      <w:pPr>
        <w:shd w:val="clear"/>
        <w:ind w:firstLine="640"/>
        <w:rPr>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发电企业偏差电量指发电企业的超发或者少发电量，超发电量获得售电费用，少发电量支付购电费用。</w:t>
      </w:r>
    </w:p>
    <w:p w14:paraId="6C0D887F">
      <w:pPr>
        <w:shd w:val="clear"/>
        <w:ind w:firstLine="640"/>
        <w:rPr>
          <w:highlight w:val="none"/>
        </w:rPr>
      </w:pPr>
      <w:r>
        <w:rPr>
          <w:rFonts w:hint="eastAsia"/>
          <w:highlight w:val="none"/>
        </w:rPr>
        <w:t>超发电量结算价格=偏差电量基准价P</w:t>
      </w:r>
      <w:r>
        <w:rPr>
          <w:rFonts w:hint="eastAsia"/>
          <w:highlight w:val="none"/>
          <w:vertAlign w:val="subscript"/>
        </w:rPr>
        <w:t>d</w:t>
      </w:r>
      <w:r>
        <w:rPr>
          <w:rFonts w:hint="eastAsia"/>
          <w:highlight w:val="none"/>
        </w:rPr>
        <w:t>×R1。R1为发电侧超发电量惩罚系数，R1</w:t>
      </w:r>
      <w:r>
        <w:rPr>
          <w:rFonts w:hint="eastAsia"/>
          <w:highlight w:val="none"/>
          <w:lang w:val="en-US" w:eastAsia="zh-CN"/>
        </w:rPr>
        <w:t>=</w:t>
      </w:r>
      <w:r>
        <w:rPr>
          <w:rFonts w:hint="eastAsia"/>
          <w:highlight w:val="none"/>
        </w:rPr>
        <w:t>1。</w:t>
      </w:r>
    </w:p>
    <w:p w14:paraId="2CD12153">
      <w:pPr>
        <w:shd w:val="clear"/>
        <w:ind w:firstLine="640"/>
        <w:rPr>
          <w:highlight w:val="none"/>
        </w:rPr>
      </w:pPr>
      <w:r>
        <w:rPr>
          <w:rFonts w:hint="eastAsia"/>
          <w:highlight w:val="none"/>
        </w:rPr>
        <w:t>少发电量结算价格=偏差电量基准价P</w:t>
      </w:r>
      <w:r>
        <w:rPr>
          <w:rFonts w:hint="eastAsia"/>
          <w:highlight w:val="none"/>
          <w:vertAlign w:val="subscript"/>
        </w:rPr>
        <w:t>d</w:t>
      </w:r>
      <w:r>
        <w:rPr>
          <w:rFonts w:hint="eastAsia"/>
          <w:highlight w:val="none"/>
        </w:rPr>
        <w:t>×R2。R2为发电侧少发电量惩罚系数，R2</w:t>
      </w:r>
      <w:r>
        <w:rPr>
          <w:rFonts w:hint="eastAsia"/>
          <w:highlight w:val="none"/>
          <w:lang w:val="en-US" w:eastAsia="zh-CN"/>
        </w:rPr>
        <w:t>=</w:t>
      </w:r>
      <w:r>
        <w:rPr>
          <w:rFonts w:hint="eastAsia"/>
          <w:highlight w:val="none"/>
        </w:rPr>
        <w:t>1。</w:t>
      </w:r>
    </w:p>
    <w:p w14:paraId="2DA6E297">
      <w:pPr>
        <w:numPr>
          <w:ilvl w:val="0"/>
          <w:numId w:val="4"/>
        </w:numPr>
        <w:shd w:val="clear"/>
        <w:ind w:firstLine="640"/>
        <w:rPr>
          <w:highlight w:val="none"/>
        </w:rPr>
      </w:pPr>
      <w:bookmarkStart w:id="7" w:name="_Hlk51436820"/>
      <w:r>
        <w:rPr>
          <w:rFonts w:hint="eastAsia"/>
          <w:highlight w:val="none"/>
        </w:rPr>
        <w:t>批发交易用户（包括电力用户、售电公司）</w:t>
      </w:r>
      <w:bookmarkEnd w:id="7"/>
      <w:r>
        <w:rPr>
          <w:rFonts w:hint="eastAsia"/>
          <w:highlight w:val="none"/>
        </w:rPr>
        <w:t>结算基本原则：</w:t>
      </w:r>
    </w:p>
    <w:p w14:paraId="00D2E098">
      <w:pPr>
        <w:numPr>
          <w:ilvl w:val="0"/>
          <w:numId w:val="12"/>
        </w:numPr>
        <w:shd w:val="clear"/>
        <w:ind w:firstLine="640"/>
        <w:rPr>
          <w:rFonts w:hint="eastAsia"/>
          <w:highlight w:val="none"/>
        </w:rPr>
      </w:pPr>
      <w:r>
        <w:rPr>
          <w:rFonts w:hint="eastAsia"/>
          <w:highlight w:val="none"/>
          <w:lang w:val="en-US" w:eastAsia="zh-CN"/>
        </w:rPr>
        <w:t>批发交易用户的</w:t>
      </w:r>
      <w:r>
        <w:rPr>
          <w:rFonts w:hint="eastAsia"/>
          <w:highlight w:val="none"/>
        </w:rPr>
        <w:t>中长期分时段结算按照</w:t>
      </w:r>
      <w:r>
        <w:rPr>
          <w:rFonts w:hint="eastAsia" w:ascii="仿宋" w:hAnsi="仿宋" w:eastAsia="仿宋" w:cs="仿宋"/>
          <w:sz w:val="32"/>
          <w:szCs w:val="32"/>
          <w:highlight w:val="none"/>
          <w:lang w:val="en-US" w:eastAsia="zh-CN"/>
        </w:rPr>
        <w:t>小时为</w:t>
      </w:r>
      <w:r>
        <w:rPr>
          <w:rFonts w:hint="eastAsia" w:ascii="仿宋" w:hAnsi="仿宋" w:cs="仿宋"/>
          <w:sz w:val="32"/>
          <w:szCs w:val="32"/>
          <w:highlight w:val="none"/>
          <w:lang w:val="en-US" w:eastAsia="zh-CN"/>
        </w:rPr>
        <w:t>最小</w:t>
      </w:r>
      <w:r>
        <w:rPr>
          <w:rFonts w:hint="eastAsia"/>
          <w:highlight w:val="none"/>
        </w:rPr>
        <w:t>交易结算时段，对各类合同电量均按同一顺序进行结算</w:t>
      </w:r>
      <w:r>
        <w:rPr>
          <w:rFonts w:hint="eastAsia"/>
          <w:highlight w:val="none"/>
          <w:lang w:eastAsia="zh-CN"/>
        </w:rPr>
        <w:t>，</w:t>
      </w:r>
      <w:r>
        <w:rPr>
          <w:rFonts w:hint="eastAsia" w:ascii="仿宋" w:hAnsi="仿宋" w:eastAsia="仿宋" w:cs="仿宋"/>
          <w:sz w:val="32"/>
          <w:szCs w:val="32"/>
          <w:highlight w:val="none"/>
          <w:lang w:val="en-US" w:eastAsia="zh-CN"/>
        </w:rPr>
        <w:t>采用“日清月结”的结算模式，</w:t>
      </w:r>
      <w:r>
        <w:rPr>
          <w:rFonts w:hint="eastAsia"/>
          <w:highlight w:val="none"/>
          <w:lang w:val="en-US" w:eastAsia="zh-CN"/>
        </w:rPr>
        <w:t>按照“中长期合约照付不议，事后偏差结算”的原则开展结算</w:t>
      </w:r>
      <w:r>
        <w:rPr>
          <w:rFonts w:hint="eastAsia"/>
          <w:highlight w:val="none"/>
        </w:rPr>
        <w:t>。</w:t>
      </w:r>
      <w:r>
        <w:rPr>
          <w:rFonts w:hint="eastAsia"/>
          <w:highlight w:val="none"/>
          <w:lang w:val="en-US" w:eastAsia="zh-CN"/>
        </w:rPr>
        <w:t>现货运行期间，则按照现货规则明确的三部制结算原则等开展现货结算。</w:t>
      </w:r>
    </w:p>
    <w:p w14:paraId="1B4A832B">
      <w:pPr>
        <w:shd w:val="clear"/>
        <w:ind w:firstLine="640"/>
        <w:rPr>
          <w:highlight w:val="none"/>
        </w:rPr>
      </w:pPr>
      <w:r>
        <w:rPr>
          <w:rFonts w:hint="eastAsia"/>
          <w:highlight w:val="none"/>
        </w:rPr>
        <w:t>（二）批发交易用户偏差电量分为超用电量和少用电量，超用电量支付购电费用，少用电量获得售电收入。</w:t>
      </w:r>
    </w:p>
    <w:p w14:paraId="5145AA61">
      <w:pPr>
        <w:shd w:val="clear"/>
        <w:ind w:firstLine="640"/>
        <w:rPr>
          <w:highlight w:val="none"/>
        </w:rPr>
      </w:pPr>
      <w:r>
        <w:rPr>
          <w:rFonts w:hint="eastAsia"/>
          <w:highlight w:val="none"/>
        </w:rPr>
        <w:t>批发交易用户偏差电量=用户实际网供电量－（各类交易合同购入电量－各类交易合同售出电量）。</w:t>
      </w:r>
    </w:p>
    <w:p w14:paraId="7979B564">
      <w:pPr>
        <w:shd w:val="clear"/>
        <w:ind w:firstLine="640"/>
        <w:rPr>
          <w:highlight w:val="none"/>
        </w:rPr>
      </w:pPr>
      <w:r>
        <w:rPr>
          <w:rFonts w:hint="eastAsia"/>
          <w:highlight w:val="none"/>
        </w:rPr>
        <w:t>超用电量的结算价格=偏差电量基准价P</w:t>
      </w:r>
      <w:r>
        <w:rPr>
          <w:rFonts w:hint="eastAsia"/>
          <w:highlight w:val="none"/>
          <w:vertAlign w:val="subscript"/>
        </w:rPr>
        <w:t>d</w:t>
      </w:r>
      <w:r>
        <w:rPr>
          <w:rFonts w:hint="eastAsia"/>
          <w:highlight w:val="none"/>
        </w:rPr>
        <w:t>×U1。U1为用户侧超用电量惩罚系数，U1</w:t>
      </w:r>
      <w:r>
        <w:rPr>
          <w:rFonts w:hint="eastAsia"/>
          <w:highlight w:val="none"/>
          <w:lang w:val="en-US" w:eastAsia="zh-CN"/>
        </w:rPr>
        <w:t>=</w:t>
      </w:r>
      <w:r>
        <w:rPr>
          <w:rFonts w:hint="eastAsia"/>
          <w:highlight w:val="none"/>
        </w:rPr>
        <w:t>1。</w:t>
      </w:r>
    </w:p>
    <w:p w14:paraId="260C1E4B">
      <w:pPr>
        <w:shd w:val="clear"/>
        <w:ind w:firstLine="640"/>
        <w:rPr>
          <w:highlight w:val="none"/>
        </w:rPr>
      </w:pPr>
      <w:r>
        <w:rPr>
          <w:rFonts w:hint="eastAsia"/>
          <w:highlight w:val="none"/>
        </w:rPr>
        <w:t>少用电量的结算价格=偏差电量基准价P</w:t>
      </w:r>
      <w:r>
        <w:rPr>
          <w:rFonts w:hint="eastAsia"/>
          <w:highlight w:val="none"/>
          <w:vertAlign w:val="subscript"/>
        </w:rPr>
        <w:t>d</w:t>
      </w:r>
      <w:r>
        <w:rPr>
          <w:rFonts w:hint="eastAsia"/>
          <w:highlight w:val="none"/>
        </w:rPr>
        <w:t>×U2。U2为用户侧少用电量惩罚系数，U2</w:t>
      </w:r>
      <w:r>
        <w:rPr>
          <w:rFonts w:hint="eastAsia"/>
          <w:highlight w:val="none"/>
          <w:lang w:val="en-US" w:eastAsia="zh-CN"/>
        </w:rPr>
        <w:t>=</w:t>
      </w:r>
      <w:r>
        <w:rPr>
          <w:rFonts w:hint="eastAsia"/>
          <w:highlight w:val="none"/>
        </w:rPr>
        <w:t>1。</w:t>
      </w:r>
    </w:p>
    <w:p w14:paraId="66FE00A6">
      <w:pPr>
        <w:shd w:val="clear"/>
        <w:ind w:firstLine="640"/>
        <w:rPr>
          <w:highlight w:val="none"/>
        </w:rPr>
      </w:pPr>
      <w:r>
        <w:rPr>
          <w:rFonts w:hint="eastAsia"/>
          <w:highlight w:val="none"/>
        </w:rPr>
        <w:t>当售电公司所有签约用户月度实际总用量偏离售电公司月度交易计划时，售电公司承担偏差电量电费。</w:t>
      </w:r>
    </w:p>
    <w:p w14:paraId="3FF542ED">
      <w:pPr>
        <w:shd w:val="clear"/>
        <w:ind w:firstLine="640"/>
        <w:rPr>
          <w:highlight w:val="none"/>
        </w:rPr>
      </w:pPr>
      <w:r>
        <w:rPr>
          <w:rFonts w:hint="eastAsia"/>
          <w:highlight w:val="none"/>
        </w:rPr>
        <w:t>当电网企业与售电公司签订结算协议后，电力交易机构根据售电公司与电网企业签订的结算协议向售电公司出具结算依据，电网企业根据结算依据与售电公司进行结算。</w:t>
      </w:r>
    </w:p>
    <w:p w14:paraId="51A19FCC">
      <w:pPr>
        <w:numPr>
          <w:ilvl w:val="0"/>
          <w:numId w:val="4"/>
        </w:numPr>
        <w:shd w:val="clear"/>
        <w:ind w:firstLine="640"/>
        <w:rPr>
          <w:highlight w:val="none"/>
        </w:rPr>
      </w:pPr>
      <w:r>
        <w:rPr>
          <w:rFonts w:hint="eastAsia"/>
          <w:highlight w:val="none"/>
        </w:rPr>
        <w:t>电力零售用户以户号为单位进行结算，根据售电公司与零售用户在电力交易机构备案生效的协议向零售用户出具结算依据。</w:t>
      </w:r>
    </w:p>
    <w:p w14:paraId="32820C0D">
      <w:pPr>
        <w:numPr>
          <w:ilvl w:val="0"/>
          <w:numId w:val="4"/>
        </w:numPr>
        <w:shd w:val="clear"/>
        <w:ind w:firstLine="640"/>
        <w:rPr>
          <w:highlight w:val="none"/>
        </w:rPr>
      </w:pPr>
      <w:r>
        <w:rPr>
          <w:rFonts w:hint="eastAsia" w:ascii="仿宋" w:hAnsi="仿宋" w:cs="仿宋"/>
          <w:szCs w:val="32"/>
          <w:highlight w:val="none"/>
        </w:rPr>
        <w:t>电力</w:t>
      </w:r>
      <w:r>
        <w:rPr>
          <w:rFonts w:hint="eastAsia"/>
          <w:highlight w:val="none"/>
        </w:rPr>
        <w:t>用户拥有储能，或者电力用户参加特定时段的需求侧响应，由此产生的偏差电量，由电力用户自行承担。</w:t>
      </w:r>
    </w:p>
    <w:p w14:paraId="7D0970BF">
      <w:pPr>
        <w:numPr>
          <w:ilvl w:val="0"/>
          <w:numId w:val="4"/>
        </w:numPr>
        <w:shd w:val="clear"/>
        <w:ind w:firstLine="640"/>
        <w:rPr>
          <w:highlight w:val="none"/>
        </w:rPr>
      </w:pPr>
      <w:r>
        <w:rPr>
          <w:rFonts w:hint="eastAsia"/>
          <w:highlight w:val="none"/>
        </w:rPr>
        <w:t>拥有配电网运营权的售电公司，与省级电网企业进行电费结算，并按照政府价格主管部门的相关规定，向省级电网企业支付输电费用。</w:t>
      </w:r>
    </w:p>
    <w:p w14:paraId="2ED76596">
      <w:pPr>
        <w:numPr>
          <w:ilvl w:val="0"/>
          <w:numId w:val="4"/>
        </w:numPr>
        <w:shd w:val="clear"/>
        <w:ind w:firstLine="640"/>
        <w:rPr>
          <w:highlight w:val="none"/>
        </w:rPr>
      </w:pPr>
      <w:r>
        <w:rPr>
          <w:rFonts w:hint="eastAsia"/>
          <w:highlight w:val="none"/>
        </w:rPr>
        <w:t>电力调度机构应当对结算周期内发电企业的偏差电量进行记录，包括偏差原因、起止时间、偏差电量等。在发电企业实际上网电量基础上，扣除各类合同电量、偏差电量、调度认定免责少发电量后，视为发电企业的上下调电量。发电企业的上下调电量，按照其申报价格结算。</w:t>
      </w:r>
    </w:p>
    <w:p w14:paraId="78F99E56">
      <w:pPr>
        <w:numPr>
          <w:ilvl w:val="0"/>
          <w:numId w:val="4"/>
        </w:numPr>
        <w:shd w:val="clear"/>
        <w:ind w:firstLine="640"/>
        <w:rPr>
          <w:spacing w:val="-4"/>
          <w:highlight w:val="none"/>
        </w:rPr>
      </w:pPr>
      <w:r>
        <w:rPr>
          <w:rFonts w:hint="eastAsia"/>
          <w:highlight w:val="none"/>
        </w:rPr>
        <w:t>风电、光伏发电企业的</w:t>
      </w:r>
      <w:r>
        <w:rPr>
          <w:rFonts w:hint="eastAsia"/>
          <w:spacing w:val="-4"/>
          <w:highlight w:val="none"/>
        </w:rPr>
        <w:t>电费按照当月实际上网电量以及政府批复的价格水平或者价格机制进行结算。</w:t>
      </w:r>
    </w:p>
    <w:p w14:paraId="11F8D2E2">
      <w:pPr>
        <w:numPr>
          <w:ilvl w:val="0"/>
          <w:numId w:val="4"/>
        </w:numPr>
        <w:shd w:val="clear"/>
        <w:ind w:firstLine="640"/>
        <w:rPr>
          <w:highlight w:val="none"/>
        </w:rPr>
      </w:pPr>
      <w:r>
        <w:rPr>
          <w:rFonts w:hint="eastAsia" w:ascii="仿宋" w:hAnsi="仿宋" w:cs="仿宋"/>
          <w:szCs w:val="32"/>
          <w:highlight w:val="none"/>
        </w:rPr>
        <w:t>市场化</w:t>
      </w:r>
      <w:r>
        <w:rPr>
          <w:rFonts w:hint="eastAsia"/>
          <w:highlight w:val="none"/>
        </w:rPr>
        <w:t>交易结算工作原则上应在次月</w:t>
      </w:r>
      <w:r>
        <w:rPr>
          <w:rFonts w:hint="eastAsia"/>
          <w:highlight w:val="none"/>
          <w:lang w:val="en-US" w:eastAsia="zh-CN"/>
        </w:rPr>
        <w:t>中旬</w:t>
      </w:r>
      <w:r>
        <w:rPr>
          <w:rFonts w:hint="eastAsia"/>
          <w:highlight w:val="none"/>
        </w:rPr>
        <w:t>完成，</w:t>
      </w:r>
      <w:r>
        <w:rPr>
          <w:rFonts w:hint="eastAsia"/>
          <w:highlight w:val="none"/>
          <w:lang w:eastAsia="zh-CN"/>
        </w:rPr>
        <w:t>经营主体</w:t>
      </w:r>
      <w:r>
        <w:rPr>
          <w:rFonts w:hint="eastAsia"/>
          <w:highlight w:val="none"/>
        </w:rPr>
        <w:t>可通过电力交易平台查询相关结算数据。</w:t>
      </w:r>
    </w:p>
    <w:p w14:paraId="371E5B2F">
      <w:pPr>
        <w:numPr>
          <w:ilvl w:val="0"/>
          <w:numId w:val="4"/>
        </w:numPr>
        <w:shd w:val="clear"/>
        <w:ind w:firstLine="640"/>
        <w:rPr>
          <w:highlight w:val="none"/>
        </w:rPr>
      </w:pPr>
      <w:r>
        <w:rPr>
          <w:rFonts w:hint="eastAsia"/>
          <w:highlight w:val="none"/>
        </w:rPr>
        <w:t>现货市场</w:t>
      </w:r>
      <w:r>
        <w:rPr>
          <w:rFonts w:hint="eastAsia"/>
          <w:highlight w:val="none"/>
          <w:lang w:val="en-US" w:eastAsia="zh-CN"/>
        </w:rPr>
        <w:t>运行期间</w:t>
      </w:r>
      <w:r>
        <w:rPr>
          <w:rFonts w:hint="eastAsia"/>
          <w:highlight w:val="none"/>
        </w:rPr>
        <w:t>可采用“日清月结”的结算模式，每日对已执行的成交结果进行清分计算，以自然月为周期出具结算依据并开展电费结算</w:t>
      </w:r>
      <w:r>
        <w:rPr>
          <w:rFonts w:hint="eastAsia"/>
          <w:highlight w:val="none"/>
          <w:lang w:eastAsia="zh-CN"/>
        </w:rPr>
        <w:t>。</w:t>
      </w:r>
    </w:p>
    <w:p w14:paraId="2B68996E">
      <w:pPr>
        <w:numPr>
          <w:ilvl w:val="0"/>
          <w:numId w:val="4"/>
        </w:numPr>
        <w:shd w:val="clear"/>
        <w:ind w:firstLine="640"/>
        <w:rPr>
          <w:highlight w:val="none"/>
        </w:rPr>
      </w:pPr>
      <w:r>
        <w:rPr>
          <w:rFonts w:hint="eastAsia"/>
          <w:highlight w:val="none"/>
          <w:lang w:val="en-US" w:eastAsia="zh-CN"/>
        </w:rPr>
        <w:t>现货结算期间采用三部制结算原则等开展电能电费结算，</w:t>
      </w:r>
      <w:r>
        <w:rPr>
          <w:rFonts w:hint="eastAsia"/>
          <w:highlight w:val="none"/>
        </w:rPr>
        <w:t>中长期合同电量按中长期合同价格结算，并结算所在节点与中长期结算参考点的现货价格差值，实际电量与中长期合同电量的偏差按现货市场价格结算</w:t>
      </w:r>
      <w:r>
        <w:rPr>
          <w:rFonts w:hint="eastAsia"/>
          <w:highlight w:val="none"/>
          <w:lang w:eastAsia="zh-CN"/>
        </w:rPr>
        <w:t>。</w:t>
      </w:r>
    </w:p>
    <w:p w14:paraId="1B12D726">
      <w:pPr>
        <w:numPr>
          <w:ilvl w:val="0"/>
          <w:numId w:val="4"/>
        </w:numPr>
        <w:shd w:val="clear"/>
        <w:ind w:firstLine="640"/>
        <w:rPr>
          <w:rFonts w:hint="eastAsia"/>
          <w:highlight w:val="none"/>
        </w:rPr>
      </w:pPr>
      <w:r>
        <w:rPr>
          <w:rFonts w:hint="eastAsia" w:ascii="Times New Roman" w:hAnsi="Times New Roman" w:eastAsia="仿宋" w:cs="宋体"/>
          <w:sz w:val="32"/>
          <w:szCs w:val="24"/>
          <w:highlight w:val="none"/>
        </w:rPr>
        <w:t>经营主体结算依据包括现货电能量电费、中长</w:t>
      </w:r>
      <w:r>
        <w:rPr>
          <w:rFonts w:hint="eastAsia"/>
          <w:highlight w:val="none"/>
        </w:rPr>
        <w:t>期合同电费（包括双边合同、政府授权合约等）、系统运行费用（包含辅助服务费用、抽水蓄能容量电费等）、不平衡费用等。结算账单内容包括结算依据、汇总表及其他适用的附加项目。向用户侧主体收取电费的结算账单应包括电能量费用、输配电价、线损电费、系统运行费、政府性基金及附加等。向发电侧主体支付电费的结算账单应包括电能量费用（包括现货和中长期交易的电能量电费）、系统运行费、相关成本补偿费用</w:t>
      </w:r>
      <w:r>
        <w:rPr>
          <w:rFonts w:hint="eastAsia" w:ascii="Times New Roman" w:hAnsi="Times New Roman" w:eastAsia="仿宋" w:cs="宋体"/>
          <w:sz w:val="32"/>
          <w:highlight w:val="none"/>
          <w:lang w:val="en-US" w:eastAsia="zh-CN"/>
        </w:rPr>
        <w:t>等。</w:t>
      </w:r>
    </w:p>
    <w:p w14:paraId="102C04B4">
      <w:pPr>
        <w:numPr>
          <w:ilvl w:val="0"/>
          <w:numId w:val="4"/>
        </w:numPr>
        <w:shd w:val="clear"/>
        <w:ind w:firstLine="640"/>
        <w:rPr>
          <w:rFonts w:hint="eastAsia" w:eastAsia="仿宋"/>
          <w:highlight w:val="none"/>
          <w:lang w:val="en-US" w:eastAsia="zh-CN"/>
        </w:rPr>
      </w:pPr>
      <w:r>
        <w:rPr>
          <w:rFonts w:hint="eastAsia"/>
          <w:highlight w:val="none"/>
          <w:lang w:val="en-US" w:eastAsia="zh-CN"/>
        </w:rPr>
        <w:t>结算的具体流程及执行方式按照云南省电力市场结算相关细则执行。</w:t>
      </w:r>
    </w:p>
    <w:p w14:paraId="02DF9A89">
      <w:pPr>
        <w:pStyle w:val="3"/>
        <w:shd w:val="clear"/>
        <w:rPr>
          <w:rFonts w:cs="Times New Roman"/>
          <w:highlight w:val="none"/>
        </w:rPr>
      </w:pPr>
      <w:r>
        <w:rPr>
          <w:rFonts w:hint="eastAsia" w:cs="Times New Roman"/>
          <w:highlight w:val="none"/>
        </w:rPr>
        <w:t>第</w:t>
      </w:r>
      <w:r>
        <w:rPr>
          <w:rFonts w:hint="eastAsia" w:cs="Times New Roman"/>
          <w:highlight w:val="none"/>
          <w:lang w:val="en-US" w:eastAsia="zh-CN"/>
        </w:rPr>
        <w:t>九</w:t>
      </w:r>
      <w:r>
        <w:rPr>
          <w:rFonts w:hint="eastAsia" w:cs="Times New Roman"/>
          <w:highlight w:val="none"/>
        </w:rPr>
        <w:t>章  信息披露</w:t>
      </w:r>
    </w:p>
    <w:p w14:paraId="28D18677">
      <w:pPr>
        <w:numPr>
          <w:ilvl w:val="0"/>
          <w:numId w:val="4"/>
        </w:numPr>
        <w:shd w:val="clear"/>
        <w:ind w:firstLine="640"/>
        <w:rPr>
          <w:highlight w:val="none"/>
        </w:rPr>
      </w:pPr>
      <w:r>
        <w:rPr>
          <w:rFonts w:hint="eastAsia"/>
          <w:highlight w:val="none"/>
        </w:rPr>
        <w:t>本</w:t>
      </w:r>
      <w:r>
        <w:rPr>
          <w:rFonts w:hint="eastAsia"/>
          <w:highlight w:val="none"/>
          <w:lang w:val="en-US" w:eastAsia="zh-CN"/>
        </w:rPr>
        <w:t>实施细则</w:t>
      </w:r>
      <w:r>
        <w:rPr>
          <w:rFonts w:hint="eastAsia"/>
          <w:highlight w:val="none"/>
        </w:rPr>
        <w:t>所称信息披露主体包括发电企业、售电公司、电力用户、新型</w:t>
      </w:r>
      <w:r>
        <w:rPr>
          <w:rFonts w:hint="eastAsia"/>
          <w:highlight w:val="none"/>
          <w:lang w:eastAsia="zh-CN"/>
        </w:rPr>
        <w:t>经营</w:t>
      </w:r>
      <w:r>
        <w:rPr>
          <w:rFonts w:hint="eastAsia"/>
          <w:highlight w:val="none"/>
        </w:rPr>
        <w:t>主体、电网企业和市场运营机构。</w:t>
      </w:r>
      <w:r>
        <w:rPr>
          <w:highlight w:val="none"/>
        </w:rPr>
        <w:commentReference w:id="2"/>
      </w:r>
    </w:p>
    <w:p w14:paraId="08929289">
      <w:pPr>
        <w:numPr>
          <w:ilvl w:val="0"/>
          <w:numId w:val="4"/>
        </w:numPr>
        <w:shd w:val="clear"/>
        <w:ind w:firstLine="640"/>
        <w:rPr>
          <w:rFonts w:hint="eastAsia"/>
          <w:highlight w:val="none"/>
        </w:rPr>
      </w:pPr>
      <w:r>
        <w:rPr>
          <w:rFonts w:hint="eastAsia"/>
          <w:highlight w:val="none"/>
        </w:rPr>
        <w:t>信息披露应当遵循安全、真实、准确、完整、及时、易于使用的原则。</w:t>
      </w:r>
    </w:p>
    <w:p w14:paraId="0C88BDD0">
      <w:pPr>
        <w:numPr>
          <w:ilvl w:val="0"/>
          <w:numId w:val="4"/>
        </w:numPr>
        <w:shd w:val="clear"/>
        <w:ind w:firstLine="640"/>
        <w:rPr>
          <w:highlight w:val="none"/>
        </w:rPr>
      </w:pPr>
      <w:r>
        <w:rPr>
          <w:rFonts w:hint="eastAsia"/>
          <w:highlight w:val="none"/>
        </w:rPr>
        <w:t>信息披露主体应严格按照本细则要求披露信息，并对其披露信息的真实性、准确性、完整性、及时性负责，不得有虚假记载、误导性陈述或者重大遗漏。</w:t>
      </w:r>
    </w:p>
    <w:p w14:paraId="7058281B">
      <w:pPr>
        <w:numPr>
          <w:ilvl w:val="0"/>
          <w:numId w:val="4"/>
        </w:numPr>
        <w:shd w:val="clear"/>
        <w:ind w:firstLine="640"/>
        <w:rPr>
          <w:highlight w:val="none"/>
        </w:rPr>
      </w:pPr>
      <w:r>
        <w:rPr>
          <w:rFonts w:hint="eastAsia"/>
          <w:highlight w:val="none"/>
          <w:lang w:val="en-US" w:eastAsia="zh-CN"/>
        </w:rPr>
        <w:t>云南电力市场相关的具体信息披露流程及执行方式，按照国家电力市场信息披露基本规则要求执行。</w:t>
      </w:r>
    </w:p>
    <w:p w14:paraId="2AAAB6EB">
      <w:pPr>
        <w:numPr>
          <w:ilvl w:val="0"/>
          <w:numId w:val="4"/>
        </w:numPr>
        <w:shd w:val="clear"/>
        <w:ind w:firstLine="640"/>
        <w:rPr>
          <w:highlight w:val="none"/>
        </w:rPr>
      </w:pPr>
      <w:r>
        <w:rPr>
          <w:rFonts w:hint="eastAsia" w:cs="华文仿宋"/>
          <w:sz w:val="32"/>
          <w:szCs w:val="32"/>
          <w:highlight w:val="none"/>
          <w:lang w:val="en-US" w:eastAsia="zh-CN"/>
        </w:rPr>
        <w:t>电力交易机构</w:t>
      </w:r>
      <w:r>
        <w:rPr>
          <w:rFonts w:hint="eastAsia"/>
          <w:highlight w:val="none"/>
        </w:rPr>
        <w:t>负责电力市场信息披露的实施，以电力交易平台为基础设立信息披露平台，为信息披露主体创造良好的信息披露条件，做好云南能源监管办、政府相关部门、市场经营主体信息披露平台登录账号运维管理工作。</w:t>
      </w:r>
      <w:r>
        <w:rPr>
          <w:rFonts w:hint="eastAsia" w:cs="华文仿宋"/>
          <w:sz w:val="32"/>
          <w:szCs w:val="32"/>
          <w:highlight w:val="none"/>
          <w:lang w:val="en-US" w:eastAsia="zh-CN"/>
        </w:rPr>
        <w:t>电力交易机构</w:t>
      </w:r>
      <w:r>
        <w:rPr>
          <w:rFonts w:hint="eastAsia"/>
          <w:highlight w:val="none"/>
        </w:rPr>
        <w:t>提供省内统一的信息披露标准数据格式，在保障信息安全的前提下提供数据接口服务。</w:t>
      </w:r>
    </w:p>
    <w:p w14:paraId="7E6D8F68">
      <w:pPr>
        <w:numPr>
          <w:ilvl w:val="0"/>
          <w:numId w:val="4"/>
        </w:numPr>
        <w:shd w:val="clear"/>
        <w:ind w:firstLine="640"/>
        <w:rPr>
          <w:highlight w:val="none"/>
        </w:rPr>
      </w:pPr>
      <w:r>
        <w:rPr>
          <w:rFonts w:hint="eastAsia"/>
          <w:highlight w:val="none"/>
        </w:rPr>
        <w:t>信息披露主体按照标准数据格式在信息披露平台披露应披露的信息，披露的信息保留或可供查询的时间不少于2年。信息披露应以结构化数据为主，非结构化信息采用PDF等文件格式。</w:t>
      </w:r>
    </w:p>
    <w:p w14:paraId="76275393">
      <w:pPr>
        <w:numPr>
          <w:ilvl w:val="0"/>
          <w:numId w:val="4"/>
        </w:numPr>
        <w:shd w:val="clear"/>
        <w:ind w:firstLine="640"/>
        <w:rPr>
          <w:highlight w:val="none"/>
        </w:rPr>
      </w:pPr>
      <w:r>
        <w:rPr>
          <w:rFonts w:hint="eastAsia" w:cs="华文仿宋"/>
          <w:sz w:val="32"/>
          <w:szCs w:val="32"/>
          <w:highlight w:val="none"/>
          <w:lang w:val="en-US" w:eastAsia="zh-CN"/>
        </w:rPr>
        <w:t>电力交易机构</w:t>
      </w:r>
      <w:r>
        <w:rPr>
          <w:rFonts w:hint="eastAsia"/>
          <w:highlight w:val="none"/>
        </w:rPr>
        <w:t>主要通过信息披露平台披露电力市场相关信息，在确保信息安全基础上，按信息公开范围要求，可同时通过信息发布会，交易机构官方公众号等渠道发布。</w:t>
      </w:r>
    </w:p>
    <w:p w14:paraId="3000326F">
      <w:pPr>
        <w:numPr>
          <w:ilvl w:val="0"/>
          <w:numId w:val="4"/>
        </w:numPr>
        <w:shd w:val="clear"/>
        <w:ind w:firstLine="640"/>
        <w:rPr>
          <w:highlight w:val="none"/>
        </w:rPr>
      </w:pPr>
      <w:r>
        <w:rPr>
          <w:rFonts w:hint="eastAsia"/>
          <w:highlight w:val="none"/>
        </w:rPr>
        <w:t>电力市场信息</w:t>
      </w:r>
      <w:r>
        <w:rPr>
          <w:rFonts w:hint="eastAsia"/>
          <w:highlight w:val="none"/>
          <w:lang w:eastAsia="zh-CN"/>
        </w:rPr>
        <w:t>根据国家电力市场信息披露基本规则明确的职责分工开展披露。</w:t>
      </w:r>
      <w:r>
        <w:rPr>
          <w:rFonts w:hint="eastAsia"/>
          <w:highlight w:val="none"/>
        </w:rPr>
        <w:t>按照年、季、月、周、日等周期开展披露。</w:t>
      </w:r>
    </w:p>
    <w:p w14:paraId="1C325C7B">
      <w:pPr>
        <w:numPr>
          <w:ilvl w:val="0"/>
          <w:numId w:val="4"/>
        </w:numPr>
        <w:shd w:val="clear"/>
        <w:ind w:firstLine="640"/>
        <w:rPr>
          <w:highlight w:val="none"/>
        </w:rPr>
      </w:pPr>
      <w:r>
        <w:rPr>
          <w:rFonts w:hint="eastAsia"/>
          <w:highlight w:val="none"/>
        </w:rPr>
        <w:t>涉及云南省业务的信息披露主体应以法人为主体在云南的信息披露平台披露其对应省份信息，根据信息披露需要也可披露其他省份信息。</w:t>
      </w:r>
    </w:p>
    <w:p w14:paraId="25396EA8">
      <w:pPr>
        <w:numPr>
          <w:ilvl w:val="0"/>
          <w:numId w:val="4"/>
        </w:numPr>
        <w:shd w:val="clear"/>
        <w:ind w:firstLine="640"/>
        <w:rPr>
          <w:highlight w:val="none"/>
        </w:rPr>
      </w:pPr>
      <w:r>
        <w:rPr>
          <w:rFonts w:hint="eastAsia"/>
          <w:highlight w:val="none"/>
        </w:rPr>
        <w:t>市场成员对披露的信息内容、时限等有异议或者疑问，可向</w:t>
      </w:r>
      <w:r>
        <w:rPr>
          <w:rFonts w:hint="eastAsia" w:cs="华文仿宋"/>
          <w:sz w:val="32"/>
          <w:szCs w:val="32"/>
          <w:highlight w:val="none"/>
          <w:lang w:val="en-US" w:eastAsia="zh-CN"/>
        </w:rPr>
        <w:t>电力交易机构</w:t>
      </w:r>
      <w:r>
        <w:rPr>
          <w:rFonts w:hint="eastAsia"/>
          <w:highlight w:val="none"/>
        </w:rPr>
        <w:t>提出，</w:t>
      </w:r>
      <w:r>
        <w:rPr>
          <w:rFonts w:hint="eastAsia" w:cs="华文仿宋"/>
          <w:sz w:val="32"/>
          <w:szCs w:val="32"/>
          <w:highlight w:val="none"/>
          <w:lang w:val="en-US" w:eastAsia="zh-CN"/>
        </w:rPr>
        <w:t>电力交易机构</w:t>
      </w:r>
      <w:r>
        <w:rPr>
          <w:rFonts w:hint="eastAsia"/>
          <w:highlight w:val="none"/>
        </w:rPr>
        <w:t>根据本细则规定要求相关信息披露主体予以解释及配合。</w:t>
      </w:r>
    </w:p>
    <w:p w14:paraId="2062C635">
      <w:pPr>
        <w:numPr>
          <w:ilvl w:val="0"/>
          <w:numId w:val="4"/>
        </w:numPr>
        <w:shd w:val="clear"/>
        <w:ind w:firstLine="640"/>
        <w:rPr>
          <w:highlight w:val="none"/>
        </w:rPr>
      </w:pPr>
      <w:r>
        <w:rPr>
          <w:rFonts w:hint="eastAsia"/>
          <w:highlight w:val="none"/>
        </w:rPr>
        <w:t>电力交易机构负责云南省内电力市场信息披露的实施。涉及区域电力现货市场</w:t>
      </w:r>
      <w:r>
        <w:rPr>
          <w:rFonts w:hint="eastAsia"/>
          <w:highlight w:val="none"/>
          <w:lang w:val="en-US" w:eastAsia="zh-CN"/>
        </w:rPr>
        <w:t>的信息披露按南方区域电力市场信息披露有关细则执行</w:t>
      </w:r>
      <w:r>
        <w:rPr>
          <w:rFonts w:hint="eastAsia"/>
          <w:highlight w:val="none"/>
        </w:rPr>
        <w:t>。</w:t>
      </w:r>
    </w:p>
    <w:p w14:paraId="50C20A10">
      <w:pPr>
        <w:numPr>
          <w:ilvl w:val="0"/>
          <w:numId w:val="4"/>
        </w:numPr>
        <w:shd w:val="clear"/>
        <w:ind w:firstLine="640"/>
        <w:rPr>
          <w:highlight w:val="none"/>
        </w:rPr>
      </w:pPr>
      <w:r>
        <w:rPr>
          <w:rFonts w:hint="eastAsia"/>
          <w:highlight w:val="none"/>
        </w:rPr>
        <w:t>为保障云南电力市场的稳定运行，不断提高市场运营机构的市场运营管理、监测、分析能力，防范市场运行风险，应不断健全</w:t>
      </w:r>
      <w:r>
        <w:rPr>
          <w:rFonts w:hint="eastAsia" w:cs="华文仿宋"/>
          <w:sz w:val="32"/>
          <w:szCs w:val="32"/>
          <w:highlight w:val="none"/>
          <w:lang w:val="en-US" w:eastAsia="zh-CN"/>
        </w:rPr>
        <w:t>电力交易机构</w:t>
      </w:r>
      <w:r>
        <w:rPr>
          <w:rFonts w:hint="eastAsia"/>
          <w:highlight w:val="none"/>
        </w:rPr>
        <w:t>和电力调度机构信息交换机制，电力调度机构按照</w:t>
      </w:r>
      <w:r>
        <w:rPr>
          <w:rFonts w:hint="eastAsia"/>
          <w:highlight w:val="none"/>
          <w:lang w:val="en-US" w:eastAsia="zh-CN"/>
        </w:rPr>
        <w:t>信息披露</w:t>
      </w:r>
      <w:r>
        <w:rPr>
          <w:rFonts w:hint="eastAsia"/>
          <w:highlight w:val="none"/>
        </w:rPr>
        <w:t>要求，向</w:t>
      </w:r>
      <w:r>
        <w:rPr>
          <w:rFonts w:hint="eastAsia" w:cs="华文仿宋"/>
          <w:sz w:val="32"/>
          <w:szCs w:val="32"/>
          <w:highlight w:val="none"/>
          <w:lang w:val="en-US" w:eastAsia="zh-CN"/>
        </w:rPr>
        <w:t>电力交易机构</w:t>
      </w:r>
      <w:r>
        <w:rPr>
          <w:rFonts w:hint="eastAsia"/>
          <w:highlight w:val="none"/>
        </w:rPr>
        <w:t>准确及时提供市场交易需要的可公开数据。电力调度机构和</w:t>
      </w:r>
      <w:r>
        <w:rPr>
          <w:rFonts w:hint="eastAsia" w:cs="华文仿宋"/>
          <w:sz w:val="32"/>
          <w:szCs w:val="32"/>
          <w:highlight w:val="none"/>
          <w:lang w:val="en-US" w:eastAsia="zh-CN"/>
        </w:rPr>
        <w:t>电力交易机构</w:t>
      </w:r>
      <w:r>
        <w:rPr>
          <w:rFonts w:hint="eastAsia"/>
          <w:highlight w:val="none"/>
        </w:rPr>
        <w:t>之间，应通过技术支持手段、业务协同机制等方式，做好电力交易信息、发电运行信息、电网运行信息、运行方式安排等信息</w:t>
      </w:r>
      <w:r>
        <w:rPr>
          <w:rFonts w:hint="eastAsia"/>
          <w:highlight w:val="none"/>
          <w:lang w:val="en-US" w:eastAsia="zh-CN"/>
        </w:rPr>
        <w:t>数据</w:t>
      </w:r>
      <w:r>
        <w:rPr>
          <w:rFonts w:hint="eastAsia"/>
          <w:highlight w:val="none"/>
        </w:rPr>
        <w:t>的全面、及时互通，双方</w:t>
      </w:r>
      <w:r>
        <w:rPr>
          <w:rFonts w:hint="eastAsia"/>
          <w:highlight w:val="none"/>
          <w:lang w:val="en-US" w:eastAsia="zh-CN"/>
        </w:rPr>
        <w:t>应</w:t>
      </w:r>
      <w:r>
        <w:rPr>
          <w:rFonts w:hint="eastAsia"/>
          <w:highlight w:val="none"/>
        </w:rPr>
        <w:t>相互做好信息管理和保密等措施，避免超范围向</w:t>
      </w:r>
      <w:r>
        <w:rPr>
          <w:rFonts w:hint="eastAsia" w:ascii="仿宋" w:hAnsi="仿宋" w:cs="仿宋"/>
          <w:szCs w:val="32"/>
          <w:highlight w:val="none"/>
        </w:rPr>
        <w:t>经营主体</w:t>
      </w:r>
      <w:r>
        <w:rPr>
          <w:rFonts w:hint="eastAsia"/>
          <w:highlight w:val="none"/>
        </w:rPr>
        <w:t>公布有关保密信息、市场交易</w:t>
      </w:r>
      <w:r>
        <w:rPr>
          <w:rFonts w:hint="eastAsia"/>
          <w:highlight w:val="none"/>
          <w:lang w:val="en-US" w:eastAsia="zh-CN"/>
        </w:rPr>
        <w:t>特定</w:t>
      </w:r>
      <w:r>
        <w:rPr>
          <w:rFonts w:hint="eastAsia"/>
          <w:highlight w:val="none"/>
        </w:rPr>
        <w:t>信息。</w:t>
      </w:r>
    </w:p>
    <w:p w14:paraId="29AE07F4">
      <w:pPr>
        <w:numPr>
          <w:ilvl w:val="0"/>
          <w:numId w:val="4"/>
        </w:numPr>
        <w:shd w:val="clear"/>
        <w:ind w:firstLine="640"/>
        <w:rPr>
          <w:highlight w:val="none"/>
        </w:rPr>
      </w:pPr>
      <w:r>
        <w:rPr>
          <w:rFonts w:hint="eastAsia"/>
          <w:highlight w:val="none"/>
        </w:rPr>
        <w:t>市场信息分为公众信息、公开信息、特定信息三类。公众信息是指向社会公众披露的信息；公开信息是指向有关市场成员披露的信息；</w:t>
      </w:r>
      <w:r>
        <w:rPr>
          <w:rFonts w:hint="eastAsia"/>
          <w:highlight w:val="none"/>
          <w:lang w:val="en-US" w:eastAsia="zh-CN"/>
        </w:rPr>
        <w:t>特定</w:t>
      </w:r>
      <w:r>
        <w:rPr>
          <w:rFonts w:hint="eastAsia"/>
          <w:highlight w:val="none"/>
        </w:rPr>
        <w:t>信息是指根据电力市场运营需要向特定市场成员披露的信息。</w:t>
      </w:r>
    </w:p>
    <w:p w14:paraId="69ECA776">
      <w:pPr>
        <w:numPr>
          <w:ilvl w:val="0"/>
          <w:numId w:val="4"/>
        </w:numPr>
        <w:shd w:val="clear"/>
        <w:ind w:firstLine="640"/>
        <w:rPr>
          <w:rFonts w:hint="eastAsia"/>
          <w:highlight w:val="none"/>
        </w:rPr>
      </w:pPr>
      <w:r>
        <w:rPr>
          <w:rFonts w:hint="eastAsia" w:ascii="Times New Roman" w:hAnsi="Times New Roman"/>
          <w:highlight w:val="none"/>
          <w:lang w:val="en-US" w:eastAsia="zh-CN"/>
        </w:rPr>
        <w:t>信息披露主体相关的</w:t>
      </w:r>
      <w:r>
        <w:rPr>
          <w:rFonts w:hint="eastAsia"/>
          <w:highlight w:val="none"/>
          <w:lang w:val="en-US" w:eastAsia="zh-CN"/>
        </w:rPr>
        <w:t>信息披露内容</w:t>
      </w:r>
      <w:r>
        <w:rPr>
          <w:rFonts w:hint="eastAsia" w:ascii="Times New Roman" w:hAnsi="Times New Roman"/>
          <w:highlight w:val="none"/>
          <w:lang w:val="en-US" w:eastAsia="zh-CN"/>
        </w:rPr>
        <w:t>等各项具体要求，</w:t>
      </w:r>
      <w:r>
        <w:rPr>
          <w:rFonts w:hint="eastAsia"/>
          <w:highlight w:val="none"/>
          <w:lang w:val="en-US" w:eastAsia="zh-CN"/>
        </w:rPr>
        <w:t>按照国家及</w:t>
      </w:r>
      <w:r>
        <w:rPr>
          <w:rFonts w:hint="default"/>
          <w:highlight w:val="none"/>
          <w:lang w:val="en-US" w:eastAsia="zh-CN"/>
        </w:rPr>
        <w:t>云南省内</w:t>
      </w:r>
      <w:r>
        <w:rPr>
          <w:rFonts w:hint="eastAsia"/>
          <w:highlight w:val="none"/>
          <w:lang w:val="en-US" w:eastAsia="zh-CN"/>
        </w:rPr>
        <w:t>电力市场信息披露相关规则</w:t>
      </w:r>
      <w:r>
        <w:rPr>
          <w:rFonts w:hint="eastAsia" w:ascii="Times New Roman" w:hAnsi="Times New Roman"/>
          <w:highlight w:val="none"/>
          <w:lang w:val="en-US" w:eastAsia="zh-CN"/>
        </w:rPr>
        <w:t>及</w:t>
      </w:r>
      <w:r>
        <w:rPr>
          <w:rFonts w:hint="eastAsia"/>
          <w:highlight w:val="none"/>
          <w:lang w:val="en-US" w:eastAsia="zh-CN"/>
        </w:rPr>
        <w:t>文件执行。</w:t>
      </w:r>
    </w:p>
    <w:p w14:paraId="51150CB8">
      <w:pPr>
        <w:pStyle w:val="3"/>
        <w:shd w:val="clear"/>
        <w:rPr>
          <w:rFonts w:cs="Times New Roman"/>
          <w:highlight w:val="none"/>
        </w:rPr>
      </w:pPr>
      <w:r>
        <w:rPr>
          <w:rFonts w:hint="eastAsia" w:cs="Times New Roman"/>
          <w:highlight w:val="none"/>
        </w:rPr>
        <w:t>第十章  市场监管和风险防控</w:t>
      </w:r>
    </w:p>
    <w:p w14:paraId="07271CCC">
      <w:pPr>
        <w:numPr>
          <w:ilvl w:val="0"/>
          <w:numId w:val="4"/>
        </w:numPr>
        <w:shd w:val="clear"/>
        <w:ind w:firstLine="640"/>
        <w:rPr>
          <w:highlight w:val="none"/>
        </w:rPr>
      </w:pPr>
      <w:bookmarkStart w:id="8" w:name="_Hlk82081113"/>
      <w:bookmarkStart w:id="9" w:name="_Hlk82081050"/>
      <w:r>
        <w:rPr>
          <w:rFonts w:hint="eastAsia" w:ascii="仿宋_GB2312" w:hAnsi="仿宋" w:eastAsia="仿宋_GB2312"/>
          <w:color w:val="000000"/>
          <w:kern w:val="0"/>
          <w:szCs w:val="32"/>
          <w:highlight w:val="none"/>
        </w:rPr>
        <w:t>云南</w:t>
      </w:r>
      <w:r>
        <w:rPr>
          <w:rFonts w:hint="eastAsia" w:ascii="仿宋" w:hAnsi="仿宋" w:eastAsia="仿宋" w:cs="仿宋"/>
          <w:color w:val="auto"/>
          <w:kern w:val="2"/>
          <w:szCs w:val="32"/>
          <w:highlight w:val="none"/>
        </w:rPr>
        <w:t>能源</w:t>
      </w:r>
      <w:r>
        <w:rPr>
          <w:rFonts w:hint="eastAsia" w:ascii="仿宋_GB2312" w:hAnsi="仿宋" w:eastAsia="仿宋_GB2312"/>
          <w:color w:val="000000"/>
          <w:kern w:val="0"/>
          <w:szCs w:val="32"/>
          <w:highlight w:val="none"/>
        </w:rPr>
        <w:t>监管办依法依规制定和完善云南电力市场监管实施办法或相关指引</w:t>
      </w:r>
      <w:bookmarkEnd w:id="8"/>
      <w:r>
        <w:rPr>
          <w:rFonts w:hint="eastAsia" w:ascii="仿宋_GB2312" w:hAnsi="仿宋" w:eastAsia="仿宋_GB2312"/>
          <w:color w:val="000000"/>
          <w:kern w:val="0"/>
          <w:szCs w:val="32"/>
          <w:highlight w:val="none"/>
        </w:rPr>
        <w:t>，持续</w:t>
      </w:r>
      <w:r>
        <w:rPr>
          <w:rFonts w:hint="eastAsia" w:eastAsia="仿宋_GB2312"/>
          <w:szCs w:val="32"/>
          <w:highlight w:val="none"/>
        </w:rPr>
        <w:t>加强电力市场科学监管，规范电力市场行为，</w:t>
      </w:r>
      <w:r>
        <w:rPr>
          <w:rFonts w:hint="eastAsia" w:ascii="仿宋_GB2312" w:hAnsi="仿宋" w:eastAsia="仿宋_GB2312"/>
          <w:color w:val="000000"/>
          <w:kern w:val="0"/>
          <w:szCs w:val="32"/>
          <w:highlight w:val="none"/>
        </w:rPr>
        <w:t>指导云南电力市场管理委员会建立市场自律监督工作机制，共同维护良好的市场秩序。</w:t>
      </w:r>
      <w:bookmarkEnd w:id="9"/>
      <w:r>
        <w:rPr>
          <w:rFonts w:hint="eastAsia"/>
          <w:highlight w:val="none"/>
        </w:rPr>
        <w:t>建立健全交易机构专业化监管制度，积极引入第三方专业机构，形成政府监管与外部专业化监督密切配合的有效监管体系。</w:t>
      </w:r>
    </w:p>
    <w:p w14:paraId="1E7D0F3F">
      <w:pPr>
        <w:numPr>
          <w:ilvl w:val="0"/>
          <w:numId w:val="4"/>
        </w:numPr>
        <w:shd w:val="clear"/>
        <w:ind w:firstLine="640"/>
        <w:rPr>
          <w:highlight w:val="none"/>
        </w:rPr>
      </w:pPr>
      <w:r>
        <w:rPr>
          <w:rFonts w:hint="eastAsia"/>
          <w:highlight w:val="none"/>
        </w:rPr>
        <w:t>对于滥用市场操纵力、不良交易行为等违反电力市场秩序的行为，可进行市场内部曝光</w:t>
      </w:r>
      <w:r>
        <w:rPr>
          <w:rFonts w:hint="eastAsia"/>
          <w:highlight w:val="none"/>
          <w:lang w:eastAsia="zh-CN"/>
        </w:rPr>
        <w:t>，</w:t>
      </w:r>
      <w:r>
        <w:rPr>
          <w:rFonts w:hint="eastAsia"/>
          <w:highlight w:val="none"/>
        </w:rPr>
        <w:t>依据《电力监管条例》等规定</w:t>
      </w:r>
      <w:r>
        <w:rPr>
          <w:rFonts w:hint="eastAsia"/>
          <w:highlight w:val="none"/>
          <w:lang w:val="en-US" w:eastAsia="zh-CN"/>
        </w:rPr>
        <w:t>依法依规</w:t>
      </w:r>
      <w:r>
        <w:rPr>
          <w:rFonts w:hint="eastAsia"/>
          <w:highlight w:val="none"/>
        </w:rPr>
        <w:t>处理。</w:t>
      </w:r>
    </w:p>
    <w:p w14:paraId="506F6474">
      <w:pPr>
        <w:numPr>
          <w:ilvl w:val="0"/>
          <w:numId w:val="4"/>
        </w:numPr>
        <w:shd w:val="clear"/>
        <w:ind w:firstLine="640"/>
        <w:rPr>
          <w:highlight w:val="none"/>
        </w:rPr>
      </w:pPr>
      <w:r>
        <w:rPr>
          <w:rFonts w:hint="eastAsia"/>
          <w:highlight w:val="none"/>
        </w:rPr>
        <w:t>电力</w:t>
      </w:r>
      <w:r>
        <w:rPr>
          <w:rFonts w:hint="eastAsia" w:ascii="仿宋" w:hAnsi="仿宋" w:cs="仿宋"/>
          <w:szCs w:val="32"/>
          <w:highlight w:val="none"/>
        </w:rPr>
        <w:t>交易</w:t>
      </w:r>
      <w:r>
        <w:rPr>
          <w:rFonts w:hint="eastAsia"/>
          <w:highlight w:val="none"/>
        </w:rPr>
        <w:t>机构、电力调度机构根据有关规定，履行市场运营、市场监控和风险防控等职责。根据云南能源监管办的监管要求，将相关信息系统接入电力监管信息系统，确保数据和信息传输安全可靠。按照“谁运营、谁防范，谁运营、谁监控”的原则，采取有效风险防控措施，加强对市场运营情况的监控分析，按照有关规定定期向云南能源监管办、云南省发展和改革委员会和云南省能源局提交市场监控分析报告。</w:t>
      </w:r>
    </w:p>
    <w:p w14:paraId="6ECF0AF5">
      <w:pPr>
        <w:numPr>
          <w:ilvl w:val="0"/>
          <w:numId w:val="4"/>
        </w:numPr>
        <w:shd w:val="clear"/>
        <w:ind w:firstLine="640"/>
        <w:rPr>
          <w:highlight w:val="none"/>
        </w:rPr>
      </w:pPr>
      <w:r>
        <w:rPr>
          <w:rFonts w:hint="eastAsia"/>
          <w:highlight w:val="none"/>
        </w:rPr>
        <w:t>当</w:t>
      </w:r>
      <w:r>
        <w:rPr>
          <w:rFonts w:hint="eastAsia" w:ascii="仿宋" w:hAnsi="仿宋" w:cs="仿宋"/>
          <w:szCs w:val="32"/>
          <w:highlight w:val="none"/>
        </w:rPr>
        <w:t>出现</w:t>
      </w:r>
      <w:r>
        <w:rPr>
          <w:rFonts w:hint="eastAsia"/>
          <w:highlight w:val="none"/>
        </w:rPr>
        <w:t>以下情况时，电力交易机构、电力调度机构可依法依规采取市场干预措施：</w:t>
      </w:r>
    </w:p>
    <w:p w14:paraId="5D86D92D">
      <w:pPr>
        <w:shd w:val="clear"/>
        <w:ind w:firstLine="640"/>
        <w:rPr>
          <w:highlight w:val="none"/>
        </w:rPr>
      </w:pPr>
      <w:r>
        <w:rPr>
          <w:rFonts w:hint="eastAsia"/>
          <w:highlight w:val="none"/>
        </w:rPr>
        <w:t>（一）电力系统内发生重大事故危及电网安全的；</w:t>
      </w:r>
    </w:p>
    <w:p w14:paraId="78D29115">
      <w:pPr>
        <w:shd w:val="clear"/>
        <w:ind w:firstLine="640"/>
        <w:rPr>
          <w:highlight w:val="none"/>
        </w:rPr>
      </w:pPr>
      <w:r>
        <w:rPr>
          <w:rFonts w:hint="eastAsia"/>
          <w:highlight w:val="none"/>
        </w:rPr>
        <w:t>（二）发生恶意串通操纵市场的行为，并严重影响交易结果的；</w:t>
      </w:r>
    </w:p>
    <w:p w14:paraId="14AA6279">
      <w:pPr>
        <w:shd w:val="clear"/>
        <w:ind w:firstLine="640"/>
        <w:rPr>
          <w:highlight w:val="none"/>
        </w:rPr>
      </w:pPr>
      <w:r>
        <w:rPr>
          <w:rFonts w:hint="eastAsia"/>
          <w:highlight w:val="none"/>
        </w:rPr>
        <w:t>（三）市场技术支持系统发生重大故障，导致交易无法正常进行的；</w:t>
      </w:r>
    </w:p>
    <w:p w14:paraId="60134C65">
      <w:pPr>
        <w:shd w:val="clear"/>
        <w:ind w:firstLine="640"/>
        <w:rPr>
          <w:highlight w:val="none"/>
        </w:rPr>
      </w:pPr>
      <w:r>
        <w:rPr>
          <w:rFonts w:hint="eastAsia"/>
          <w:highlight w:val="none"/>
        </w:rPr>
        <w:t>（四）因不可抗力电力市场化交易不能正常开展的；</w:t>
      </w:r>
    </w:p>
    <w:p w14:paraId="42DB85FD">
      <w:pPr>
        <w:shd w:val="clear"/>
        <w:ind w:firstLine="640"/>
        <w:rPr>
          <w:highlight w:val="none"/>
        </w:rPr>
      </w:pPr>
      <w:r>
        <w:rPr>
          <w:rFonts w:hint="eastAsia"/>
          <w:highlight w:val="none"/>
        </w:rPr>
        <w:t>（五）云南能源监管办、云南省发展和改革委员会和云南省能源局作出暂停市场交易决定的；</w:t>
      </w:r>
    </w:p>
    <w:p w14:paraId="41B99F10">
      <w:pPr>
        <w:shd w:val="clear"/>
        <w:ind w:firstLine="640"/>
        <w:rPr>
          <w:highlight w:val="none"/>
        </w:rPr>
      </w:pPr>
      <w:r>
        <w:rPr>
          <w:rFonts w:hint="eastAsia"/>
          <w:highlight w:val="none"/>
        </w:rPr>
        <w:t>（六）市场发生其他严重异常情况的。</w:t>
      </w:r>
    </w:p>
    <w:p w14:paraId="12C01B05">
      <w:pPr>
        <w:numPr>
          <w:ilvl w:val="0"/>
          <w:numId w:val="4"/>
        </w:numPr>
        <w:shd w:val="clear"/>
        <w:ind w:firstLine="640"/>
        <w:rPr>
          <w:highlight w:val="none"/>
        </w:rPr>
      </w:pPr>
      <w:r>
        <w:rPr>
          <w:rFonts w:hint="eastAsia" w:ascii="仿宋" w:hAnsi="仿宋" w:cs="仿宋"/>
          <w:szCs w:val="32"/>
          <w:highlight w:val="none"/>
        </w:rPr>
        <w:t>电力</w:t>
      </w:r>
      <w:r>
        <w:rPr>
          <w:rFonts w:hint="eastAsia"/>
          <w:highlight w:val="none"/>
        </w:rPr>
        <w:t>交易机构、电力调度机构应当详细记录市场干预期间的有关情况，并向云南能源监管办、云南省发展改革委和云南省能源局</w:t>
      </w:r>
      <w:r>
        <w:rPr>
          <w:rFonts w:hint="eastAsia"/>
          <w:highlight w:val="none"/>
          <w:lang w:val="en-US" w:eastAsia="zh-CN"/>
        </w:rPr>
        <w:t>备案</w:t>
      </w:r>
      <w:r>
        <w:rPr>
          <w:rFonts w:hint="eastAsia"/>
          <w:highlight w:val="none"/>
        </w:rPr>
        <w:t>。</w:t>
      </w:r>
    </w:p>
    <w:p w14:paraId="6DBF4733">
      <w:pPr>
        <w:numPr>
          <w:ilvl w:val="0"/>
          <w:numId w:val="4"/>
        </w:numPr>
        <w:shd w:val="clear"/>
        <w:ind w:firstLine="640"/>
        <w:rPr>
          <w:highlight w:val="none"/>
        </w:rPr>
      </w:pPr>
      <w:r>
        <w:rPr>
          <w:rFonts w:hint="eastAsia"/>
          <w:highlight w:val="none"/>
        </w:rPr>
        <w:t>电力批发交易发生争议时，市场成员可自行协商解决，协商无法达成一致时可提交云南能源监管办和云南省能源局调解处理，也可提交仲裁委员会仲裁或者向人民法院提起诉讼。</w:t>
      </w:r>
    </w:p>
    <w:p w14:paraId="5685D03D">
      <w:pPr>
        <w:pStyle w:val="3"/>
        <w:shd w:val="clear"/>
        <w:rPr>
          <w:rFonts w:cs="Times New Roman"/>
          <w:highlight w:val="none"/>
        </w:rPr>
      </w:pPr>
      <w:r>
        <w:rPr>
          <w:rFonts w:hint="eastAsia" w:cs="Times New Roman"/>
          <w:highlight w:val="none"/>
        </w:rPr>
        <w:t>第十</w:t>
      </w:r>
      <w:r>
        <w:rPr>
          <w:rFonts w:hint="eastAsia" w:cs="Times New Roman"/>
          <w:highlight w:val="none"/>
          <w:lang w:val="en-US" w:eastAsia="zh-CN"/>
        </w:rPr>
        <w:t>一</w:t>
      </w:r>
      <w:r>
        <w:rPr>
          <w:rFonts w:hint="eastAsia" w:cs="Times New Roman"/>
          <w:highlight w:val="none"/>
        </w:rPr>
        <w:t>章  附则</w:t>
      </w:r>
    </w:p>
    <w:p w14:paraId="51307C70">
      <w:pPr>
        <w:numPr>
          <w:ilvl w:val="0"/>
          <w:numId w:val="4"/>
        </w:numPr>
        <w:shd w:val="clear"/>
        <w:ind w:firstLine="640"/>
        <w:rPr>
          <w:highlight w:val="none"/>
        </w:rPr>
      </w:pPr>
      <w:r>
        <w:rPr>
          <w:rFonts w:hint="eastAsia"/>
          <w:highlight w:val="none"/>
        </w:rPr>
        <w:t>云南</w:t>
      </w:r>
      <w:r>
        <w:rPr>
          <w:rFonts w:hint="eastAsia" w:ascii="仿宋" w:hAnsi="仿宋" w:cs="仿宋"/>
          <w:szCs w:val="32"/>
          <w:highlight w:val="none"/>
        </w:rPr>
        <w:t>能源</w:t>
      </w:r>
      <w:r>
        <w:rPr>
          <w:rFonts w:hint="eastAsia"/>
          <w:highlight w:val="none"/>
        </w:rPr>
        <w:t>监管办可以根据国家电力体制改革政策、云南省电力市场建设进程及电力运行相关情况会同云南省能源局对本实施细则进行修订，调整和优化相关条款。修订程序为：</w:t>
      </w:r>
    </w:p>
    <w:p w14:paraId="5E2BEC83">
      <w:pPr>
        <w:shd w:val="clear"/>
        <w:ind w:firstLine="640"/>
        <w:rPr>
          <w:highlight w:val="none"/>
        </w:rPr>
      </w:pPr>
      <w:r>
        <w:rPr>
          <w:rFonts w:hint="eastAsia"/>
          <w:highlight w:val="none"/>
        </w:rPr>
        <w:t>（一）由电力交易机构按照市场运行情况和市场成员建议提出修订意见；</w:t>
      </w:r>
    </w:p>
    <w:p w14:paraId="4B167E02">
      <w:pPr>
        <w:shd w:val="clear"/>
        <w:ind w:firstLine="640"/>
        <w:rPr>
          <w:spacing w:val="-4"/>
          <w:highlight w:val="none"/>
        </w:rPr>
      </w:pPr>
      <w:r>
        <w:rPr>
          <w:rFonts w:hint="eastAsia"/>
          <w:highlight w:val="none"/>
        </w:rPr>
        <w:t>（二）云</w:t>
      </w:r>
      <w:r>
        <w:rPr>
          <w:rFonts w:hint="eastAsia"/>
          <w:spacing w:val="-4"/>
          <w:highlight w:val="none"/>
        </w:rPr>
        <w:t>南电力市场管理委员会组织市场成员研究讨论；</w:t>
      </w:r>
    </w:p>
    <w:p w14:paraId="0F3513E2">
      <w:pPr>
        <w:shd w:val="clear"/>
        <w:ind w:firstLine="640"/>
        <w:rPr>
          <w:highlight w:val="none"/>
        </w:rPr>
      </w:pPr>
      <w:r>
        <w:rPr>
          <w:rFonts w:hint="eastAsia"/>
          <w:highlight w:val="none"/>
        </w:rPr>
        <w:t>（三）云南电力市场管理委员会上报云南能源监管办，由云南能源监管办会同云南省能源局进行修订。</w:t>
      </w:r>
    </w:p>
    <w:p w14:paraId="7AF5537B">
      <w:pPr>
        <w:numPr>
          <w:ilvl w:val="0"/>
          <w:numId w:val="4"/>
        </w:numPr>
        <w:shd w:val="clear"/>
        <w:ind w:firstLine="640"/>
        <w:rPr>
          <w:highlight w:val="none"/>
        </w:rPr>
      </w:pPr>
      <w:r>
        <w:rPr>
          <w:rFonts w:hint="eastAsia"/>
          <w:highlight w:val="none"/>
        </w:rPr>
        <w:t>本实施细则自发布之日起施行</w:t>
      </w:r>
      <w:r>
        <w:rPr>
          <w:rFonts w:hint="eastAsia"/>
          <w:highlight w:val="none"/>
          <w:lang w:eastAsia="zh-CN"/>
        </w:rPr>
        <w:t>，</w:t>
      </w:r>
      <w:r>
        <w:rPr>
          <w:rFonts w:hint="eastAsia"/>
          <w:highlight w:val="none"/>
          <w:lang w:val="en-US" w:eastAsia="zh-CN"/>
        </w:rPr>
        <w:t>有效期2年</w:t>
      </w:r>
      <w:r>
        <w:rPr>
          <w:rFonts w:hint="eastAsia"/>
          <w:highlight w:val="none"/>
        </w:rPr>
        <w:t>。</w:t>
      </w:r>
      <w:r>
        <w:rPr>
          <w:rFonts w:hint="eastAsia"/>
          <w:highlight w:val="none"/>
          <w:lang w:val="en-US" w:eastAsia="zh-CN"/>
        </w:rPr>
        <w:t>原有的云南电力中长期交易实施细则、云南电力市场交易组织管理办法、现货市场环境下的云南</w:t>
      </w:r>
      <w:r>
        <w:rPr>
          <w:rFonts w:hint="eastAsia"/>
          <w:highlight w:val="none"/>
        </w:rPr>
        <w:t>电力市场中长期电能量交易实施细则（试运行1.0版）</w:t>
      </w:r>
      <w:r>
        <w:rPr>
          <w:rFonts w:hint="eastAsia"/>
          <w:highlight w:val="none"/>
          <w:lang w:val="en-US" w:eastAsia="zh-CN"/>
        </w:rPr>
        <w:t>以及云南电力市场准入与退出管理办法不再执行。</w:t>
      </w:r>
    </w:p>
    <w:p w14:paraId="272146D3">
      <w:pPr>
        <w:numPr>
          <w:ilvl w:val="0"/>
          <w:numId w:val="4"/>
        </w:numPr>
        <w:shd w:val="clear"/>
        <w:ind w:firstLine="640"/>
        <w:rPr>
          <w:highlight w:val="none"/>
        </w:rPr>
      </w:pPr>
      <w:r>
        <w:rPr>
          <w:rFonts w:hint="eastAsia"/>
          <w:highlight w:val="none"/>
        </w:rPr>
        <w:t>本</w:t>
      </w:r>
      <w:r>
        <w:rPr>
          <w:rFonts w:hint="eastAsia" w:ascii="仿宋" w:hAnsi="仿宋" w:cs="仿宋"/>
          <w:szCs w:val="32"/>
          <w:highlight w:val="none"/>
        </w:rPr>
        <w:t>实施</w:t>
      </w:r>
      <w:r>
        <w:rPr>
          <w:rFonts w:hint="eastAsia"/>
          <w:highlight w:val="none"/>
        </w:rPr>
        <w:t>细则由国家能源局云南监管办公室负责解释。</w:t>
      </w:r>
    </w:p>
    <w:p w14:paraId="7116A434">
      <w:pPr>
        <w:numPr>
          <w:ilvl w:val="0"/>
          <w:numId w:val="4"/>
        </w:numPr>
        <w:ind w:firstLine="640"/>
        <w:rPr>
          <w:rFonts w:hint="eastAsia" w:ascii="仿宋" w:hAnsi="仿宋" w:cs="仿宋"/>
          <w:szCs w:val="32"/>
          <w:highlight w:val="none"/>
        </w:rPr>
      </w:pPr>
      <w:r>
        <w:rPr>
          <w:rFonts w:hint="eastAsia" w:ascii="仿宋" w:hAnsi="仿宋" w:eastAsia="仿宋" w:cs="仿宋"/>
          <w:color w:val="auto"/>
          <w:szCs w:val="32"/>
          <w:highlight w:val="none"/>
        </w:rPr>
        <w:t>本</w:t>
      </w:r>
      <w:r>
        <w:rPr>
          <w:rFonts w:hint="eastAsia" w:ascii="仿宋" w:hAnsi="仿宋" w:cs="仿宋"/>
          <w:szCs w:val="32"/>
          <w:highlight w:val="none"/>
        </w:rPr>
        <w:t>实施</w:t>
      </w:r>
      <w:r>
        <w:rPr>
          <w:rFonts w:hint="eastAsia"/>
          <w:highlight w:val="none"/>
        </w:rPr>
        <w:t>细则</w:t>
      </w:r>
      <w:r>
        <w:rPr>
          <w:rFonts w:hint="eastAsia" w:ascii="仿宋" w:hAnsi="仿宋" w:eastAsia="仿宋" w:cs="仿宋"/>
          <w:color w:val="auto"/>
          <w:szCs w:val="32"/>
          <w:highlight w:val="none"/>
        </w:rPr>
        <w:t>与国家最新的政策</w:t>
      </w:r>
      <w:r>
        <w:rPr>
          <w:rFonts w:hint="eastAsia" w:ascii="仿宋" w:hAnsi="仿宋" w:cs="仿宋"/>
          <w:color w:val="auto"/>
          <w:szCs w:val="32"/>
          <w:highlight w:val="none"/>
          <w:lang w:eastAsia="zh-CN"/>
        </w:rPr>
        <w:t>、</w:t>
      </w:r>
      <w:r>
        <w:rPr>
          <w:rFonts w:hint="eastAsia" w:ascii="仿宋" w:hAnsi="仿宋" w:cs="仿宋"/>
          <w:color w:val="auto"/>
          <w:szCs w:val="32"/>
          <w:highlight w:val="none"/>
          <w:lang w:val="en-US" w:eastAsia="zh-CN"/>
        </w:rPr>
        <w:t>规则</w:t>
      </w:r>
      <w:r>
        <w:rPr>
          <w:rFonts w:hint="eastAsia" w:ascii="仿宋" w:hAnsi="仿宋" w:eastAsia="仿宋" w:cs="仿宋"/>
          <w:color w:val="auto"/>
          <w:szCs w:val="32"/>
          <w:highlight w:val="none"/>
        </w:rPr>
        <w:t>、文件规定不符的，从其规定</w:t>
      </w:r>
      <w:r>
        <w:rPr>
          <w:rFonts w:hint="eastAsia" w:ascii="仿宋" w:hAnsi="仿宋" w:cs="仿宋"/>
          <w:szCs w:val="32"/>
          <w:highlight w:val="none"/>
          <w:lang w:eastAsia="zh-CN"/>
        </w:rPr>
        <w:t>。</w:t>
      </w:r>
    </w:p>
    <w:p w14:paraId="7784EFC6">
      <w:pPr>
        <w:pStyle w:val="2"/>
        <w:shd w:val="clear"/>
        <w:ind w:firstLine="0" w:firstLineChars="0"/>
        <w:rPr>
          <w:rFonts w:ascii="黑体" w:hAnsi="黑体" w:eastAsia="黑体" w:cs="黑体"/>
          <w:color w:val="000000" w:themeColor="text1"/>
          <w:highlight w:val="none"/>
          <w14:textFill>
            <w14:solidFill>
              <w14:schemeClr w14:val="tx1"/>
            </w14:solidFill>
          </w14:textFill>
        </w:rPr>
      </w:pPr>
      <w:bookmarkStart w:id="14" w:name="_GoBack"/>
      <w:bookmarkEnd w:id="14"/>
      <w:r>
        <w:rPr>
          <w:rFonts w:hint="eastAsia" w:ascii="仿宋" w:hAnsi="仿宋" w:cs="仿宋"/>
          <w:szCs w:val="32"/>
          <w:highlight w:val="none"/>
          <w:lang w:eastAsia="zh-CN"/>
        </w:rPr>
        <w:br w:type="page"/>
      </w:r>
      <w:bookmarkStart w:id="10" w:name="_Toc23824"/>
      <w:bookmarkStart w:id="11" w:name="_Toc3466"/>
      <w:r>
        <w:rPr>
          <w:rFonts w:hint="eastAsia" w:ascii="黑体" w:hAnsi="黑体" w:eastAsia="黑体" w:cs="黑体"/>
          <w:color w:val="000000" w:themeColor="text1"/>
          <w:highlight w:val="none"/>
          <w14:textFill>
            <w14:solidFill>
              <w14:schemeClr w14:val="tx1"/>
            </w14:solidFill>
          </w14:textFill>
        </w:rPr>
        <w:t>附录1：术语定义</w:t>
      </w:r>
      <w:bookmarkEnd w:id="10"/>
      <w:bookmarkEnd w:id="11"/>
    </w:p>
    <w:p w14:paraId="34D90B40">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跨省优先发电计划。指根据国家指令性计划、地方政府间送电协议，通过购售双方协商形成的电力、电量合同，纳入跨省中长期交易的范畴。</w:t>
      </w:r>
    </w:p>
    <w:p w14:paraId="4A5905EE">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基数电量</w:t>
      </w:r>
      <w:r>
        <w:rPr>
          <w:rFonts w:hint="eastAsia" w:cs="华文仿宋"/>
          <w:color w:val="000000" w:themeColor="text1"/>
          <w:sz w:val="32"/>
          <w:szCs w:val="32"/>
          <w:highlight w:val="none"/>
          <w:lang w:eastAsia="zh-CN"/>
          <w14:textFill>
            <w14:solidFill>
              <w14:schemeClr w14:val="tx1"/>
            </w14:solidFill>
          </w14:textFill>
        </w:rPr>
        <w:t>。</w:t>
      </w:r>
      <w:r>
        <w:rPr>
          <w:rFonts w:hint="eastAsia" w:cs="华文仿宋"/>
          <w:color w:val="000000" w:themeColor="text1"/>
          <w:sz w:val="32"/>
          <w:szCs w:val="32"/>
          <w:highlight w:val="none"/>
          <w:lang w:val="en-US" w:eastAsia="zh-CN"/>
          <w14:textFill>
            <w14:solidFill>
              <w14:schemeClr w14:val="tx1"/>
            </w14:solidFill>
          </w14:textFill>
        </w:rPr>
        <w:t>指</w:t>
      </w:r>
      <w:r>
        <w:rPr>
          <w:rFonts w:hint="eastAsia" w:ascii="Times New Roman" w:hAnsi="Times New Roman" w:eastAsia="仿宋" w:cs="华文仿宋"/>
          <w:color w:val="000000" w:themeColor="text1"/>
          <w:sz w:val="32"/>
          <w:szCs w:val="32"/>
          <w:highlight w:val="none"/>
          <w14:textFill>
            <w14:solidFill>
              <w14:schemeClr w14:val="tx1"/>
            </w14:solidFill>
          </w14:textFill>
        </w:rPr>
        <w:t>计划电量或非市场电量</w:t>
      </w:r>
      <w:r>
        <w:rPr>
          <w:rFonts w:hint="eastAsia" w:cs="华文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 w:cs="华文仿宋"/>
          <w:color w:val="000000" w:themeColor="text1"/>
          <w:sz w:val="32"/>
          <w:szCs w:val="32"/>
          <w:highlight w:val="none"/>
          <w14:textFill>
            <w14:solidFill>
              <w14:schemeClr w14:val="tx1"/>
            </w14:solidFill>
          </w14:textFill>
        </w:rPr>
        <w:t>是指上网电量中执行国家批复电价的电量</w:t>
      </w:r>
      <w:r>
        <w:rPr>
          <w:rFonts w:hint="eastAsia" w:cs="华文仿宋"/>
          <w:color w:val="000000" w:themeColor="text1"/>
          <w:sz w:val="32"/>
          <w:szCs w:val="32"/>
          <w:highlight w:val="none"/>
          <w:lang w:eastAsia="zh-CN"/>
          <w14:textFill>
            <w14:solidFill>
              <w14:schemeClr w14:val="tx1"/>
            </w14:solidFill>
          </w14:textFill>
        </w:rPr>
        <w:t>。</w:t>
      </w:r>
    </w:p>
    <w:p w14:paraId="116F40CF">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差价合约。指根据事先约定的合同价格以及合同交割对应的市场价格（如现货市场价格）之差进行结算的一种财务合同。</w:t>
      </w:r>
    </w:p>
    <w:p w14:paraId="214D1123">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交易单元。指</w:t>
      </w:r>
      <w:r>
        <w:rPr>
          <w:rFonts w:hint="eastAsia" w:ascii="仿宋" w:hAnsi="仿宋" w:cs="仿宋"/>
          <w:szCs w:val="32"/>
          <w:highlight w:val="none"/>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参加中长期各交易品种的基本单位。</w:t>
      </w:r>
    </w:p>
    <w:p w14:paraId="367AD8FE">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合同周期。指合同的起止时间，以日历日为基本单位。</w:t>
      </w:r>
    </w:p>
    <w:p w14:paraId="54F086AA">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合同电量。指</w:t>
      </w:r>
      <w:r>
        <w:rPr>
          <w:rFonts w:hint="eastAsia" w:ascii="仿宋" w:hAnsi="仿宋" w:cs="仿宋"/>
          <w:szCs w:val="32"/>
          <w:highlight w:val="none"/>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在中长期市场中所成交的市场化合同电量。</w:t>
      </w:r>
    </w:p>
    <w:p w14:paraId="179F912B">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电网代购交易合同电量。指电网企业为满足代理购电用户需求，从市场机组购买并接受市场价格的电量合同。</w:t>
      </w:r>
    </w:p>
    <w:p w14:paraId="086E8A71">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交易价格。指</w:t>
      </w:r>
      <w:r>
        <w:rPr>
          <w:rFonts w:hint="eastAsia" w:ascii="仿宋" w:hAnsi="仿宋" w:cs="仿宋"/>
          <w:szCs w:val="32"/>
          <w:highlight w:val="none"/>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在参加电力中长期交易时成交的电能量价格。</w:t>
      </w:r>
    </w:p>
    <w:p w14:paraId="3C31806A">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综合价格，指根据集中竞争交易中所有成交量价计算出的电能量价格，采用绝对价格形式，按标的分别计算。</w:t>
      </w:r>
    </w:p>
    <w:p w14:paraId="0D1DBDB8">
      <w:pPr>
        <w:numPr>
          <w:ilvl w:val="1"/>
          <w:numId w:val="13"/>
        </w:numPr>
        <w:shd w:val="clear"/>
        <w:spacing w:line="560" w:lineRule="exact"/>
        <w:ind w:firstLine="640" w:firstLineChars="200"/>
        <w:rPr>
          <w:rFonts w:hint="default" w:ascii="Times New Roman" w:hAnsi="Times New Roman" w:eastAsia="仿宋" w:cs="华文仿宋"/>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分解曲线。指合同电量在合同周期内按照一定比例进行分解的电力特性曲线。</w:t>
      </w:r>
    </w:p>
    <w:p w14:paraId="294724B5">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结算参考点。指</w:t>
      </w:r>
      <w:r>
        <w:rPr>
          <w:rFonts w:hint="eastAsia" w:ascii="仿宋" w:hAnsi="仿宋" w:cs="仿宋"/>
          <w:szCs w:val="32"/>
          <w:highlight w:val="none"/>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购售双方约定中长期合同的交割电量、电价的唯一节点。</w:t>
      </w:r>
    </w:p>
    <w:p w14:paraId="15F737BC">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净合同电量上下限。指</w:t>
      </w:r>
      <w:r>
        <w:rPr>
          <w:rFonts w:hint="eastAsia" w:ascii="仿宋" w:hAnsi="仿宋" w:cs="仿宋"/>
          <w:szCs w:val="32"/>
          <w:highlight w:val="none"/>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所交易的标的物在一定周期内合同电量代数和的上下限值。</w:t>
      </w:r>
    </w:p>
    <w:p w14:paraId="2B803521">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累计合同电量上下限。指</w:t>
      </w:r>
      <w:r>
        <w:rPr>
          <w:rFonts w:hint="eastAsia" w:ascii="仿宋" w:hAnsi="仿宋" w:cs="仿宋"/>
          <w:szCs w:val="32"/>
          <w:highlight w:val="none"/>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买入和卖出的标的物在一定周期内合同电量绝对值之和的上下限值。</w:t>
      </w:r>
    </w:p>
    <w:p w14:paraId="6FD0EFCD">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可申报电量上下限。指</w:t>
      </w:r>
      <w:r>
        <w:rPr>
          <w:rFonts w:hint="eastAsia" w:ascii="仿宋" w:hAnsi="仿宋" w:cs="仿宋"/>
          <w:szCs w:val="32"/>
          <w:highlight w:val="none"/>
        </w:rPr>
        <w:t>经营主体</w:t>
      </w:r>
      <w:r>
        <w:rPr>
          <w:rFonts w:hint="eastAsia" w:ascii="Times New Roman" w:hAnsi="Times New Roman" w:eastAsia="仿宋" w:cs="华文仿宋"/>
          <w:color w:val="000000" w:themeColor="text1"/>
          <w:sz w:val="32"/>
          <w:szCs w:val="32"/>
          <w:highlight w:val="none"/>
          <w14:textFill>
            <w14:solidFill>
              <w14:schemeClr w14:val="tx1"/>
            </w14:solidFill>
          </w14:textFill>
        </w:rPr>
        <w:t>参加中长期交易时可申报电量额度，该额度按不同交易标的分别计算。</w:t>
      </w:r>
    </w:p>
    <w:p w14:paraId="7DF8A8E5">
      <w:pPr>
        <w:numPr>
          <w:ilvl w:val="1"/>
          <w:numId w:val="13"/>
        </w:numPr>
        <w:shd w:val="clear"/>
        <w:spacing w:line="560" w:lineRule="exact"/>
        <w:ind w:firstLine="640" w:firstLineChars="200"/>
        <w:rPr>
          <w:rFonts w:ascii="Times New Roman" w:hAnsi="Times New Roman" w:eastAsia="仿宋" w:cs="华文仿宋"/>
          <w:color w:val="000000" w:themeColor="text1"/>
          <w:sz w:val="32"/>
          <w:szCs w:val="32"/>
          <w:highlight w:val="none"/>
          <w14:textFill>
            <w14:solidFill>
              <w14:schemeClr w14:val="tx1"/>
            </w14:solidFill>
          </w14:textFill>
        </w:rPr>
      </w:pPr>
      <w:r>
        <w:rPr>
          <w:rFonts w:hint="eastAsia" w:ascii="Times New Roman" w:hAnsi="Times New Roman" w:eastAsia="仿宋" w:cs="华文仿宋"/>
          <w:color w:val="000000" w:themeColor="text1"/>
          <w:sz w:val="32"/>
          <w:szCs w:val="32"/>
          <w:highlight w:val="none"/>
          <w14:textFill>
            <w14:solidFill>
              <w14:schemeClr w14:val="tx1"/>
            </w14:solidFill>
          </w14:textFill>
        </w:rPr>
        <w:t>交易平台。指电力交易平台。</w:t>
      </w:r>
    </w:p>
    <w:p w14:paraId="0543B7E9">
      <w:pPr>
        <w:pStyle w:val="4"/>
        <w:shd w:val="clear"/>
        <w:ind w:firstLine="640" w:firstLineChars="200"/>
        <w:rPr>
          <w:highlight w:val="none"/>
        </w:rPr>
        <w:sectPr>
          <w:footerReference r:id="rId7" w:type="default"/>
          <w:pgSz w:w="11906" w:h="16838"/>
          <w:pgMar w:top="1440" w:right="1800" w:bottom="1440" w:left="1800" w:header="851" w:footer="850" w:gutter="0"/>
          <w:pgNumType w:fmt="decimal"/>
          <w:cols w:space="0" w:num="1"/>
          <w:docGrid w:type="lines" w:linePitch="312" w:charSpace="0"/>
        </w:sectPr>
      </w:pPr>
    </w:p>
    <w:p w14:paraId="5AEDA31B">
      <w:pPr>
        <w:pStyle w:val="31"/>
        <w:numPr>
          <w:ilvl w:val="0"/>
          <w:numId w:val="0"/>
        </w:numPr>
        <w:shd w:val="clear"/>
        <w:spacing w:before="156"/>
        <w:jc w:val="left"/>
        <w:rPr>
          <w:rFonts w:ascii="黑体" w:hAnsi="黑体" w:eastAsia="黑体" w:cs="黑体"/>
          <w:color w:val="000000" w:themeColor="text1"/>
          <w:highlight w:val="none"/>
          <w14:textFill>
            <w14:solidFill>
              <w14:schemeClr w14:val="tx1"/>
            </w14:solidFill>
          </w14:textFill>
        </w:rPr>
      </w:pPr>
      <w:bookmarkStart w:id="12" w:name="_Toc332"/>
      <w:bookmarkStart w:id="13" w:name="_Toc32094"/>
      <w:r>
        <w:rPr>
          <w:rFonts w:hint="eastAsia" w:ascii="黑体" w:hAnsi="黑体" w:eastAsia="黑体" w:cs="黑体"/>
          <w:color w:val="000000" w:themeColor="text1"/>
          <w:highlight w:val="none"/>
          <w14:textFill>
            <w14:solidFill>
              <w14:schemeClr w14:val="tx1"/>
            </w14:solidFill>
          </w14:textFill>
        </w:rPr>
        <w:t>附录</w:t>
      </w:r>
      <w:r>
        <w:rPr>
          <w:rFonts w:ascii="黑体" w:hAnsi="黑体" w:eastAsia="黑体" w:cs="黑体"/>
          <w:color w:val="000000" w:themeColor="text1"/>
          <w:highlight w:val="none"/>
          <w14:textFill>
            <w14:solidFill>
              <w14:schemeClr w14:val="tx1"/>
            </w14:solidFill>
          </w14:textFill>
        </w:rPr>
        <w:t>2</w:t>
      </w:r>
      <w:r>
        <w:rPr>
          <w:rFonts w:hint="eastAsia" w:ascii="黑体" w:hAnsi="黑体" w:eastAsia="黑体" w:cs="黑体"/>
          <w:color w:val="000000" w:themeColor="text1"/>
          <w:highlight w:val="none"/>
          <w14:textFill>
            <w14:solidFill>
              <w14:schemeClr w14:val="tx1"/>
            </w14:solidFill>
          </w14:textFill>
        </w:rPr>
        <w:t>：云南电力市场中长期电能量交易品种库</w:t>
      </w:r>
      <w:bookmarkEnd w:id="12"/>
      <w:bookmarkEnd w:id="13"/>
    </w:p>
    <w:p w14:paraId="600D4EB9">
      <w:pPr>
        <w:pStyle w:val="2"/>
        <w:shd w:val="clear"/>
        <w:rPr>
          <w:rFonts w:hint="eastAsia" w:ascii="仿宋" w:hAnsi="仿宋" w:cs="仿宋"/>
          <w:szCs w:val="32"/>
          <w:highlight w:val="none"/>
          <w:lang w:eastAsia="zh-CN"/>
        </w:rPr>
      </w:pPr>
    </w:p>
    <w:tbl>
      <w:tblPr>
        <w:tblStyle w:val="14"/>
        <w:tblW w:w="45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1062"/>
        <w:gridCol w:w="2431"/>
        <w:gridCol w:w="1324"/>
        <w:gridCol w:w="715"/>
        <w:gridCol w:w="1522"/>
      </w:tblGrid>
      <w:tr w14:paraId="4A31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372" w:type="pct"/>
            <w:tcMar>
              <w:top w:w="15" w:type="dxa"/>
              <w:left w:w="15" w:type="dxa"/>
              <w:right w:w="15" w:type="dxa"/>
            </w:tcMar>
            <w:vAlign w:val="center"/>
          </w:tcPr>
          <w:p w14:paraId="3FFB99AF">
            <w:pPr>
              <w:widowControl/>
              <w:shd w:val="clear"/>
              <w:spacing w:line="240" w:lineRule="auto"/>
              <w:ind w:firstLine="0" w:firstLineChars="0"/>
              <w:jc w:val="center"/>
              <w:textAlignment w:val="center"/>
              <w:rPr>
                <w:rFonts w:ascii="黑体" w:hAnsi="黑体" w:eastAsia="黑体" w:cs="黑体"/>
                <w:bCs/>
                <w:color w:val="000000"/>
                <w:sz w:val="24"/>
                <w:szCs w:val="24"/>
                <w:highlight w:val="none"/>
              </w:rPr>
            </w:pPr>
            <w:r>
              <w:rPr>
                <w:rFonts w:hint="default" w:ascii="黑体" w:hAnsi="黑体" w:eastAsia="黑体" w:cs="黑体"/>
                <w:bCs/>
                <w:color w:val="000000"/>
                <w:kern w:val="2"/>
                <w:sz w:val="24"/>
                <w:szCs w:val="24"/>
                <w:highlight w:val="none"/>
                <w:lang w:val="zh-CN"/>
              </w:rPr>
              <w:t>序号</w:t>
            </w:r>
          </w:p>
        </w:tc>
        <w:tc>
          <w:tcPr>
            <w:tcW w:w="696" w:type="pct"/>
            <w:tcMar>
              <w:top w:w="15" w:type="dxa"/>
              <w:left w:w="15" w:type="dxa"/>
              <w:right w:w="15" w:type="dxa"/>
            </w:tcMar>
            <w:vAlign w:val="center"/>
          </w:tcPr>
          <w:p w14:paraId="3666A5F5">
            <w:pPr>
              <w:widowControl/>
              <w:shd w:val="clear"/>
              <w:spacing w:line="240" w:lineRule="auto"/>
              <w:ind w:firstLine="0" w:firstLineChars="0"/>
              <w:jc w:val="center"/>
              <w:textAlignment w:val="center"/>
              <w:rPr>
                <w:rFonts w:ascii="黑体" w:hAnsi="黑体" w:eastAsia="黑体" w:cs="黑体"/>
                <w:bCs/>
                <w:color w:val="000000"/>
                <w:sz w:val="24"/>
                <w:szCs w:val="24"/>
                <w:highlight w:val="none"/>
              </w:rPr>
            </w:pPr>
            <w:r>
              <w:rPr>
                <w:rFonts w:hint="default" w:ascii="黑体" w:hAnsi="黑体" w:eastAsia="黑体" w:cs="黑体"/>
                <w:bCs/>
                <w:color w:val="000000"/>
                <w:kern w:val="2"/>
                <w:sz w:val="24"/>
                <w:szCs w:val="24"/>
                <w:highlight w:val="none"/>
                <w:lang w:val="zh-CN"/>
              </w:rPr>
              <w:t>交易组织时间</w:t>
            </w:r>
          </w:p>
        </w:tc>
        <w:tc>
          <w:tcPr>
            <w:tcW w:w="1594" w:type="pct"/>
            <w:tcMar>
              <w:top w:w="15" w:type="dxa"/>
              <w:left w:w="15" w:type="dxa"/>
              <w:right w:w="15" w:type="dxa"/>
            </w:tcMar>
            <w:vAlign w:val="center"/>
          </w:tcPr>
          <w:p w14:paraId="0738F492">
            <w:pPr>
              <w:widowControl/>
              <w:shd w:val="clear"/>
              <w:spacing w:line="240" w:lineRule="auto"/>
              <w:ind w:firstLine="0" w:firstLineChars="0"/>
              <w:jc w:val="center"/>
              <w:textAlignment w:val="center"/>
              <w:rPr>
                <w:rFonts w:ascii="黑体" w:hAnsi="黑体" w:eastAsia="黑体" w:cs="黑体"/>
                <w:bCs/>
                <w:color w:val="000000"/>
                <w:sz w:val="24"/>
                <w:szCs w:val="24"/>
                <w:highlight w:val="none"/>
              </w:rPr>
            </w:pPr>
            <w:r>
              <w:rPr>
                <w:rFonts w:hint="default" w:ascii="黑体" w:hAnsi="黑体" w:eastAsia="黑体" w:cs="黑体"/>
                <w:bCs/>
                <w:color w:val="000000"/>
                <w:kern w:val="2"/>
                <w:sz w:val="24"/>
                <w:szCs w:val="24"/>
                <w:highlight w:val="none"/>
                <w:lang w:val="zh-CN"/>
              </w:rPr>
              <w:t>交易品种</w:t>
            </w:r>
          </w:p>
        </w:tc>
        <w:tc>
          <w:tcPr>
            <w:tcW w:w="868" w:type="pct"/>
            <w:tcMar>
              <w:top w:w="15" w:type="dxa"/>
              <w:left w:w="15" w:type="dxa"/>
              <w:right w:w="15" w:type="dxa"/>
            </w:tcMar>
            <w:vAlign w:val="center"/>
          </w:tcPr>
          <w:p w14:paraId="14D49EB4">
            <w:pPr>
              <w:widowControl/>
              <w:shd w:val="clear"/>
              <w:spacing w:line="240" w:lineRule="auto"/>
              <w:ind w:firstLine="0" w:firstLineChars="0"/>
              <w:jc w:val="center"/>
              <w:textAlignment w:val="center"/>
              <w:rPr>
                <w:rFonts w:ascii="黑体" w:hAnsi="黑体" w:eastAsia="黑体" w:cs="黑体"/>
                <w:bCs/>
                <w:color w:val="000000"/>
                <w:sz w:val="24"/>
                <w:szCs w:val="24"/>
                <w:highlight w:val="none"/>
              </w:rPr>
            </w:pPr>
            <w:r>
              <w:rPr>
                <w:rFonts w:hint="default" w:ascii="黑体" w:hAnsi="黑体" w:eastAsia="黑体" w:cs="黑体"/>
                <w:bCs/>
                <w:color w:val="000000"/>
                <w:kern w:val="2"/>
                <w:sz w:val="24"/>
                <w:szCs w:val="24"/>
                <w:highlight w:val="none"/>
                <w:lang w:val="zh-CN"/>
              </w:rPr>
              <w:t>交易标的</w:t>
            </w:r>
          </w:p>
        </w:tc>
        <w:tc>
          <w:tcPr>
            <w:tcW w:w="469" w:type="pct"/>
            <w:tcMar>
              <w:top w:w="15" w:type="dxa"/>
              <w:left w:w="15" w:type="dxa"/>
              <w:right w:w="15" w:type="dxa"/>
            </w:tcMar>
            <w:vAlign w:val="center"/>
          </w:tcPr>
          <w:p w14:paraId="5FEC703E">
            <w:pPr>
              <w:widowControl/>
              <w:shd w:val="clear"/>
              <w:spacing w:line="240" w:lineRule="auto"/>
              <w:ind w:firstLine="0" w:firstLineChars="0"/>
              <w:jc w:val="center"/>
              <w:textAlignment w:val="center"/>
              <w:rPr>
                <w:rFonts w:ascii="黑体" w:hAnsi="黑体" w:eastAsia="黑体" w:cs="黑体"/>
                <w:bCs/>
                <w:color w:val="000000"/>
                <w:sz w:val="24"/>
                <w:szCs w:val="24"/>
                <w:highlight w:val="none"/>
              </w:rPr>
            </w:pPr>
            <w:r>
              <w:rPr>
                <w:rFonts w:hint="default" w:ascii="黑体" w:hAnsi="黑体" w:eastAsia="黑体" w:cs="黑体"/>
                <w:bCs/>
                <w:color w:val="000000"/>
                <w:kern w:val="2"/>
                <w:sz w:val="24"/>
                <w:szCs w:val="24"/>
                <w:highlight w:val="none"/>
                <w:lang w:val="zh-CN"/>
              </w:rPr>
              <w:t>交易类型</w:t>
            </w:r>
          </w:p>
        </w:tc>
        <w:tc>
          <w:tcPr>
            <w:tcW w:w="997" w:type="pct"/>
            <w:tcMar>
              <w:top w:w="15" w:type="dxa"/>
              <w:left w:w="15" w:type="dxa"/>
              <w:right w:w="15" w:type="dxa"/>
            </w:tcMar>
            <w:vAlign w:val="center"/>
          </w:tcPr>
          <w:p w14:paraId="553250D8">
            <w:pPr>
              <w:widowControl/>
              <w:shd w:val="clear"/>
              <w:spacing w:line="240" w:lineRule="auto"/>
              <w:ind w:firstLine="0" w:firstLineChars="0"/>
              <w:jc w:val="center"/>
              <w:textAlignment w:val="center"/>
              <w:rPr>
                <w:rFonts w:ascii="黑体" w:hAnsi="黑体" w:eastAsia="黑体" w:cs="黑体"/>
                <w:bCs/>
                <w:color w:val="000000"/>
                <w:sz w:val="24"/>
                <w:szCs w:val="24"/>
                <w:highlight w:val="none"/>
              </w:rPr>
            </w:pPr>
            <w:r>
              <w:rPr>
                <w:rFonts w:hint="default" w:ascii="黑体" w:hAnsi="黑体" w:eastAsia="黑体" w:cs="黑体"/>
                <w:bCs/>
                <w:color w:val="000000"/>
                <w:kern w:val="2"/>
                <w:sz w:val="24"/>
                <w:szCs w:val="24"/>
                <w:highlight w:val="none"/>
                <w:lang w:val="zh-CN"/>
              </w:rPr>
              <w:t>交易方式</w:t>
            </w:r>
          </w:p>
        </w:tc>
      </w:tr>
      <w:tr w14:paraId="3724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14:paraId="12282693">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rPr>
            </w:pPr>
            <w:r>
              <w:rPr>
                <w:rFonts w:hint="eastAsia" w:ascii="黑体" w:hAnsi="黑体" w:eastAsia="黑体" w:cs="黑体"/>
                <w:color w:val="000000"/>
                <w:kern w:val="0"/>
                <w:sz w:val="21"/>
                <w:szCs w:val="21"/>
                <w:highlight w:val="none"/>
                <w:lang w:val="zh-CN"/>
              </w:rPr>
              <w:t>1</w:t>
            </w:r>
          </w:p>
        </w:tc>
        <w:tc>
          <w:tcPr>
            <w:tcW w:w="696" w:type="pct"/>
            <w:vMerge w:val="restart"/>
            <w:tcMar>
              <w:top w:w="15" w:type="dxa"/>
              <w:left w:w="15" w:type="dxa"/>
              <w:right w:w="15" w:type="dxa"/>
            </w:tcMar>
            <w:vAlign w:val="center"/>
          </w:tcPr>
          <w:p w14:paraId="26810CDD">
            <w:pPr>
              <w:widowControl/>
              <w:shd w:val="clear"/>
              <w:spacing w:line="240" w:lineRule="auto"/>
              <w:ind w:firstLine="0" w:firstLineChars="0"/>
              <w:jc w:val="center"/>
              <w:textAlignment w:val="center"/>
              <w:rPr>
                <w:rFonts w:hint="eastAsia" w:asciiTheme="minorHAnsi" w:hAnsiTheme="minorHAnsi" w:eastAsiaTheme="minorEastAsia" w:cstheme="minorBidi"/>
                <w:bCs w:val="0"/>
                <w:sz w:val="21"/>
                <w:szCs w:val="22"/>
                <w:highlight w:val="none"/>
              </w:rPr>
            </w:pPr>
            <w:r>
              <w:rPr>
                <w:rFonts w:hint="eastAsia" w:asciiTheme="minorHAnsi" w:hAnsiTheme="minorHAnsi" w:eastAsiaTheme="minorEastAsia" w:cstheme="minorBidi"/>
                <w:bCs w:val="0"/>
                <w:sz w:val="21"/>
                <w:szCs w:val="22"/>
                <w:highlight w:val="none"/>
              </w:rPr>
              <w:t>年度交易</w:t>
            </w:r>
          </w:p>
        </w:tc>
        <w:tc>
          <w:tcPr>
            <w:tcW w:w="1594" w:type="pct"/>
            <w:tcMar>
              <w:top w:w="15" w:type="dxa"/>
              <w:left w:w="15" w:type="dxa"/>
              <w:right w:w="15" w:type="dxa"/>
            </w:tcMar>
            <w:vAlign w:val="center"/>
          </w:tcPr>
          <w:p w14:paraId="015AE8CA">
            <w:pPr>
              <w:widowControl/>
              <w:shd w:val="clear"/>
              <w:spacing w:line="240" w:lineRule="auto"/>
              <w:ind w:firstLine="0" w:firstLineChars="0"/>
              <w:jc w:val="center"/>
              <w:textAlignment w:val="center"/>
              <w:rPr>
                <w:rFonts w:hint="eastAsia" w:asciiTheme="minorHAnsi" w:hAnsiTheme="minorHAnsi" w:eastAsiaTheme="minorEastAsia" w:cstheme="minorBidi"/>
                <w:color w:val="auto"/>
                <w:sz w:val="21"/>
                <w:szCs w:val="22"/>
                <w:highlight w:val="none"/>
              </w:rPr>
            </w:pPr>
            <w:r>
              <w:rPr>
                <w:rFonts w:hint="eastAsia" w:asciiTheme="minorHAnsi" w:hAnsiTheme="minorHAnsi" w:eastAsiaTheme="minorEastAsia" w:cstheme="minorBidi"/>
                <w:sz w:val="21"/>
                <w:szCs w:val="22"/>
                <w:highlight w:val="none"/>
              </w:rPr>
              <w:t>省内多年（年度）市场电量直接交易</w:t>
            </w:r>
          </w:p>
        </w:tc>
        <w:tc>
          <w:tcPr>
            <w:tcW w:w="868" w:type="pct"/>
            <w:tcMar>
              <w:top w:w="15" w:type="dxa"/>
              <w:left w:w="15" w:type="dxa"/>
              <w:right w:w="15" w:type="dxa"/>
            </w:tcMar>
            <w:vAlign w:val="center"/>
          </w:tcPr>
          <w:p w14:paraId="20EE2A99">
            <w:pPr>
              <w:widowControl/>
              <w:shd w:val="clear"/>
              <w:spacing w:line="240" w:lineRule="auto"/>
              <w:ind w:firstLine="0" w:firstLineChars="0"/>
              <w:jc w:val="center"/>
              <w:textAlignment w:val="center"/>
              <w:rPr>
                <w:rFonts w:hint="eastAsia" w:asciiTheme="minorHAnsi" w:hAnsiTheme="minorHAnsi" w:eastAsiaTheme="minorEastAsia" w:cstheme="minorBidi"/>
                <w:color w:val="auto"/>
                <w:sz w:val="21"/>
                <w:szCs w:val="22"/>
                <w:highlight w:val="none"/>
              </w:rPr>
            </w:pPr>
            <w:r>
              <w:rPr>
                <w:rFonts w:hint="eastAsia" w:asciiTheme="minorHAnsi" w:hAnsiTheme="minorHAnsi" w:eastAsiaTheme="minorEastAsia" w:cstheme="minorBidi"/>
                <w:sz w:val="21"/>
                <w:szCs w:val="22"/>
                <w:highlight w:val="none"/>
              </w:rPr>
              <w:t>多年（年度）市场电量</w:t>
            </w:r>
          </w:p>
        </w:tc>
        <w:tc>
          <w:tcPr>
            <w:tcW w:w="469" w:type="pct"/>
            <w:tcMar>
              <w:top w:w="15" w:type="dxa"/>
              <w:left w:w="15" w:type="dxa"/>
              <w:right w:w="15" w:type="dxa"/>
            </w:tcMar>
            <w:vAlign w:val="center"/>
          </w:tcPr>
          <w:p w14:paraId="2DA53F43">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直接交易</w:t>
            </w:r>
          </w:p>
        </w:tc>
        <w:tc>
          <w:tcPr>
            <w:tcW w:w="997" w:type="pct"/>
            <w:tcMar>
              <w:top w:w="15" w:type="dxa"/>
              <w:left w:w="15" w:type="dxa"/>
              <w:right w:w="15" w:type="dxa"/>
            </w:tcMar>
            <w:vAlign w:val="center"/>
          </w:tcPr>
          <w:p w14:paraId="163EFA6B">
            <w:pPr>
              <w:widowControl/>
              <w:shd w:val="clear"/>
              <w:spacing w:line="240" w:lineRule="auto"/>
              <w:ind w:firstLine="0" w:firstLineChars="0"/>
              <w:jc w:val="center"/>
              <w:textAlignment w:val="center"/>
              <w:rPr>
                <w:rFonts w:hint="eastAsia" w:asciiTheme="minorHAnsi" w:hAnsiTheme="minorHAnsi" w:eastAsiaTheme="minorEastAsia" w:cstheme="minorBidi"/>
                <w:color w:val="auto"/>
                <w:sz w:val="21"/>
                <w:szCs w:val="22"/>
                <w:highlight w:val="none"/>
              </w:rPr>
            </w:pPr>
            <w:r>
              <w:rPr>
                <w:rFonts w:hint="eastAsia" w:asciiTheme="minorHAnsi" w:hAnsiTheme="minorHAnsi" w:eastAsiaTheme="minorEastAsia" w:cstheme="minorBidi"/>
                <w:sz w:val="21"/>
                <w:szCs w:val="22"/>
                <w:highlight w:val="none"/>
              </w:rPr>
              <w:t>协商/竞价/滚动撮合/挂牌</w:t>
            </w:r>
          </w:p>
        </w:tc>
      </w:tr>
      <w:tr w14:paraId="2A79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14:paraId="7EBB3258">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rPr>
            </w:pPr>
            <w:r>
              <w:rPr>
                <w:rFonts w:hint="eastAsia" w:ascii="黑体" w:hAnsi="黑体" w:eastAsia="黑体" w:cs="黑体"/>
                <w:color w:val="000000"/>
                <w:kern w:val="0"/>
                <w:sz w:val="21"/>
                <w:szCs w:val="21"/>
                <w:highlight w:val="none"/>
                <w:lang w:val="zh-CN"/>
              </w:rPr>
              <w:t>2</w:t>
            </w:r>
          </w:p>
        </w:tc>
        <w:tc>
          <w:tcPr>
            <w:tcW w:w="696" w:type="pct"/>
            <w:vMerge w:val="continue"/>
            <w:tcMar>
              <w:top w:w="15" w:type="dxa"/>
              <w:left w:w="15" w:type="dxa"/>
              <w:right w:w="15" w:type="dxa"/>
            </w:tcMar>
            <w:vAlign w:val="center"/>
          </w:tcPr>
          <w:p w14:paraId="0DF7359B">
            <w:pPr>
              <w:widowControl/>
              <w:shd w:val="clear"/>
              <w:spacing w:line="240" w:lineRule="auto"/>
              <w:ind w:firstLine="0" w:firstLineChars="0"/>
              <w:jc w:val="center"/>
              <w:textAlignment w:val="center"/>
              <w:rPr>
                <w:rFonts w:hint="eastAsia" w:asciiTheme="minorHAnsi" w:hAnsiTheme="minorHAnsi" w:eastAsiaTheme="minorEastAsia" w:cstheme="minorBidi"/>
                <w:bCs w:val="0"/>
                <w:sz w:val="21"/>
                <w:szCs w:val="22"/>
                <w:highlight w:val="none"/>
              </w:rPr>
            </w:pPr>
          </w:p>
        </w:tc>
        <w:tc>
          <w:tcPr>
            <w:tcW w:w="1594" w:type="pct"/>
            <w:tcMar>
              <w:top w:w="15" w:type="dxa"/>
              <w:left w:w="15" w:type="dxa"/>
              <w:right w:w="15" w:type="dxa"/>
            </w:tcMar>
            <w:vAlign w:val="center"/>
          </w:tcPr>
          <w:p w14:paraId="18919C4E">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省内多年（年度）绿色电力直接交易</w:t>
            </w:r>
          </w:p>
        </w:tc>
        <w:tc>
          <w:tcPr>
            <w:tcW w:w="868" w:type="pct"/>
            <w:tcMar>
              <w:top w:w="15" w:type="dxa"/>
              <w:left w:w="15" w:type="dxa"/>
              <w:right w:w="15" w:type="dxa"/>
            </w:tcMar>
            <w:vAlign w:val="center"/>
          </w:tcPr>
          <w:p w14:paraId="38C27EAC">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多年（年度）绿色电力</w:t>
            </w:r>
          </w:p>
        </w:tc>
        <w:tc>
          <w:tcPr>
            <w:tcW w:w="469" w:type="pct"/>
            <w:tcMar>
              <w:top w:w="15" w:type="dxa"/>
              <w:left w:w="15" w:type="dxa"/>
              <w:right w:w="15" w:type="dxa"/>
            </w:tcMar>
            <w:vAlign w:val="center"/>
          </w:tcPr>
          <w:p w14:paraId="00E28C0F">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直接交易</w:t>
            </w:r>
          </w:p>
        </w:tc>
        <w:tc>
          <w:tcPr>
            <w:tcW w:w="997" w:type="pct"/>
            <w:tcMar>
              <w:top w:w="15" w:type="dxa"/>
              <w:left w:w="15" w:type="dxa"/>
              <w:right w:w="15" w:type="dxa"/>
            </w:tcMar>
            <w:vAlign w:val="center"/>
          </w:tcPr>
          <w:p w14:paraId="39327461">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协商</w:t>
            </w:r>
          </w:p>
        </w:tc>
      </w:tr>
      <w:tr w14:paraId="26BA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14:paraId="302F3C93">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rPr>
            </w:pPr>
            <w:r>
              <w:rPr>
                <w:rFonts w:hint="eastAsia" w:ascii="黑体" w:hAnsi="黑体" w:eastAsia="黑体" w:cs="黑体"/>
                <w:color w:val="000000"/>
                <w:kern w:val="0"/>
                <w:sz w:val="21"/>
                <w:szCs w:val="21"/>
                <w:highlight w:val="none"/>
                <w:lang w:val="zh-CN"/>
              </w:rPr>
              <w:t>4</w:t>
            </w:r>
          </w:p>
        </w:tc>
        <w:tc>
          <w:tcPr>
            <w:tcW w:w="696" w:type="pct"/>
            <w:vMerge w:val="continue"/>
            <w:tcMar>
              <w:top w:w="15" w:type="dxa"/>
              <w:left w:w="15" w:type="dxa"/>
              <w:right w:w="15" w:type="dxa"/>
            </w:tcMar>
            <w:vAlign w:val="center"/>
          </w:tcPr>
          <w:p w14:paraId="38C1383A">
            <w:pPr>
              <w:widowControl/>
              <w:shd w:val="clear"/>
              <w:spacing w:line="240" w:lineRule="auto"/>
              <w:ind w:firstLine="0" w:firstLineChars="0"/>
              <w:jc w:val="center"/>
              <w:textAlignment w:val="center"/>
              <w:rPr>
                <w:rFonts w:hint="eastAsia" w:asciiTheme="minorHAnsi" w:hAnsiTheme="minorHAnsi" w:eastAsiaTheme="minorEastAsia" w:cstheme="minorBidi"/>
                <w:bCs w:val="0"/>
                <w:sz w:val="21"/>
                <w:szCs w:val="22"/>
                <w:highlight w:val="none"/>
              </w:rPr>
            </w:pPr>
          </w:p>
        </w:tc>
        <w:tc>
          <w:tcPr>
            <w:tcW w:w="1594" w:type="pct"/>
            <w:tcMar>
              <w:top w:w="15" w:type="dxa"/>
              <w:left w:w="15" w:type="dxa"/>
              <w:right w:w="15" w:type="dxa"/>
            </w:tcMar>
            <w:vAlign w:val="center"/>
          </w:tcPr>
          <w:p w14:paraId="0149C9C0">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省内年度代购电量代购交易</w:t>
            </w:r>
          </w:p>
        </w:tc>
        <w:tc>
          <w:tcPr>
            <w:tcW w:w="868" w:type="pct"/>
            <w:tcMar>
              <w:top w:w="15" w:type="dxa"/>
              <w:left w:w="15" w:type="dxa"/>
              <w:right w:w="15" w:type="dxa"/>
            </w:tcMar>
            <w:vAlign w:val="center"/>
          </w:tcPr>
          <w:p w14:paraId="4E0E65E9">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年度代购电量</w:t>
            </w:r>
          </w:p>
        </w:tc>
        <w:tc>
          <w:tcPr>
            <w:tcW w:w="469" w:type="pct"/>
            <w:tcMar>
              <w:top w:w="15" w:type="dxa"/>
              <w:left w:w="15" w:type="dxa"/>
              <w:right w:w="15" w:type="dxa"/>
            </w:tcMar>
            <w:vAlign w:val="center"/>
          </w:tcPr>
          <w:p w14:paraId="2FC21243">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代购交易</w:t>
            </w:r>
          </w:p>
        </w:tc>
        <w:tc>
          <w:tcPr>
            <w:tcW w:w="997" w:type="pct"/>
            <w:tcMar>
              <w:top w:w="15" w:type="dxa"/>
              <w:left w:w="15" w:type="dxa"/>
              <w:right w:w="15" w:type="dxa"/>
            </w:tcMar>
            <w:vAlign w:val="center"/>
          </w:tcPr>
          <w:p w14:paraId="30A76BC4">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挂牌</w:t>
            </w:r>
          </w:p>
        </w:tc>
      </w:tr>
      <w:tr w14:paraId="071B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14:paraId="1F010AB8">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rPr>
            </w:pPr>
            <w:r>
              <w:rPr>
                <w:rFonts w:hint="eastAsia" w:ascii="黑体" w:hAnsi="黑体" w:eastAsia="黑体" w:cs="黑体"/>
                <w:color w:val="000000"/>
                <w:kern w:val="0"/>
                <w:sz w:val="21"/>
                <w:szCs w:val="21"/>
                <w:highlight w:val="none"/>
                <w:lang w:val="zh-CN"/>
              </w:rPr>
              <w:t>5</w:t>
            </w:r>
          </w:p>
        </w:tc>
        <w:tc>
          <w:tcPr>
            <w:tcW w:w="696" w:type="pct"/>
            <w:vMerge w:val="restart"/>
            <w:tcMar>
              <w:top w:w="15" w:type="dxa"/>
              <w:left w:w="15" w:type="dxa"/>
              <w:right w:w="15" w:type="dxa"/>
            </w:tcMar>
            <w:vAlign w:val="center"/>
          </w:tcPr>
          <w:p w14:paraId="78AEE464">
            <w:pPr>
              <w:widowControl/>
              <w:shd w:val="clear"/>
              <w:spacing w:line="240" w:lineRule="auto"/>
              <w:ind w:firstLine="0" w:firstLineChars="0"/>
              <w:jc w:val="center"/>
              <w:textAlignment w:val="center"/>
              <w:rPr>
                <w:rFonts w:hint="eastAsia" w:asciiTheme="minorHAnsi" w:hAnsiTheme="minorHAnsi" w:eastAsiaTheme="minorEastAsia" w:cstheme="minorBidi"/>
                <w:bCs w:val="0"/>
                <w:sz w:val="21"/>
                <w:szCs w:val="22"/>
                <w:highlight w:val="none"/>
              </w:rPr>
            </w:pPr>
            <w:r>
              <w:rPr>
                <w:rFonts w:hint="eastAsia" w:asciiTheme="minorHAnsi" w:hAnsiTheme="minorHAnsi" w:eastAsiaTheme="minorEastAsia" w:cstheme="minorBidi"/>
                <w:bCs w:val="0"/>
                <w:sz w:val="21"/>
                <w:szCs w:val="22"/>
                <w:highlight w:val="none"/>
              </w:rPr>
              <w:t>月度交易</w:t>
            </w:r>
          </w:p>
        </w:tc>
        <w:tc>
          <w:tcPr>
            <w:tcW w:w="1594" w:type="pct"/>
            <w:tcMar>
              <w:top w:w="15" w:type="dxa"/>
              <w:left w:w="15" w:type="dxa"/>
              <w:right w:w="15" w:type="dxa"/>
            </w:tcMar>
            <w:vAlign w:val="center"/>
          </w:tcPr>
          <w:p w14:paraId="37F198F1">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省内多月（月度）市场电量直接交易</w:t>
            </w:r>
          </w:p>
        </w:tc>
        <w:tc>
          <w:tcPr>
            <w:tcW w:w="868" w:type="pct"/>
            <w:tcMar>
              <w:top w:w="15" w:type="dxa"/>
              <w:left w:w="15" w:type="dxa"/>
              <w:right w:w="15" w:type="dxa"/>
            </w:tcMar>
            <w:vAlign w:val="center"/>
          </w:tcPr>
          <w:p w14:paraId="1341F2C7">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多月（月度）市场电量</w:t>
            </w:r>
          </w:p>
        </w:tc>
        <w:tc>
          <w:tcPr>
            <w:tcW w:w="469" w:type="pct"/>
            <w:tcMar>
              <w:top w:w="15" w:type="dxa"/>
              <w:left w:w="15" w:type="dxa"/>
              <w:right w:w="15" w:type="dxa"/>
            </w:tcMar>
            <w:vAlign w:val="center"/>
          </w:tcPr>
          <w:p w14:paraId="085A62B9">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直接交易</w:t>
            </w:r>
          </w:p>
        </w:tc>
        <w:tc>
          <w:tcPr>
            <w:tcW w:w="997" w:type="pct"/>
            <w:tcMar>
              <w:top w:w="15" w:type="dxa"/>
              <w:left w:w="15" w:type="dxa"/>
              <w:right w:w="15" w:type="dxa"/>
            </w:tcMar>
            <w:vAlign w:val="center"/>
          </w:tcPr>
          <w:p w14:paraId="03D22404">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协商/竞价/滚动撮合/挂牌</w:t>
            </w:r>
          </w:p>
        </w:tc>
      </w:tr>
      <w:tr w14:paraId="5DB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14:paraId="23B18F54">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rPr>
            </w:pPr>
            <w:r>
              <w:rPr>
                <w:rFonts w:hint="eastAsia" w:ascii="黑体" w:hAnsi="黑体" w:eastAsia="黑体" w:cs="黑体"/>
                <w:color w:val="000000"/>
                <w:kern w:val="0"/>
                <w:sz w:val="21"/>
                <w:szCs w:val="21"/>
                <w:highlight w:val="none"/>
                <w:lang w:val="zh-CN"/>
              </w:rPr>
              <w:t>6</w:t>
            </w:r>
          </w:p>
        </w:tc>
        <w:tc>
          <w:tcPr>
            <w:tcW w:w="696" w:type="pct"/>
            <w:vMerge w:val="continue"/>
            <w:tcMar>
              <w:top w:w="15" w:type="dxa"/>
              <w:left w:w="15" w:type="dxa"/>
              <w:right w:w="15" w:type="dxa"/>
            </w:tcMar>
            <w:vAlign w:val="center"/>
          </w:tcPr>
          <w:p w14:paraId="34E95BE5">
            <w:pPr>
              <w:widowControl/>
              <w:shd w:val="clear"/>
              <w:spacing w:line="240" w:lineRule="auto"/>
              <w:ind w:firstLine="0" w:firstLineChars="0"/>
              <w:jc w:val="center"/>
              <w:textAlignment w:val="center"/>
              <w:rPr>
                <w:rFonts w:hint="eastAsia" w:asciiTheme="minorHAnsi" w:hAnsiTheme="minorHAnsi" w:eastAsiaTheme="minorEastAsia" w:cstheme="minorBidi"/>
                <w:bCs w:val="0"/>
                <w:sz w:val="21"/>
                <w:szCs w:val="22"/>
                <w:highlight w:val="none"/>
              </w:rPr>
            </w:pPr>
          </w:p>
        </w:tc>
        <w:tc>
          <w:tcPr>
            <w:tcW w:w="1594" w:type="pct"/>
            <w:tcMar>
              <w:top w:w="15" w:type="dxa"/>
              <w:left w:w="15" w:type="dxa"/>
              <w:right w:w="15" w:type="dxa"/>
            </w:tcMar>
            <w:vAlign w:val="center"/>
          </w:tcPr>
          <w:p w14:paraId="0A2BFDC0">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省内月度绿色电力直接交易</w:t>
            </w:r>
          </w:p>
        </w:tc>
        <w:tc>
          <w:tcPr>
            <w:tcW w:w="868" w:type="pct"/>
            <w:tcMar>
              <w:top w:w="15" w:type="dxa"/>
              <w:left w:w="15" w:type="dxa"/>
              <w:right w:w="15" w:type="dxa"/>
            </w:tcMar>
            <w:vAlign w:val="center"/>
          </w:tcPr>
          <w:p w14:paraId="6E59865D">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月度绿色电力</w:t>
            </w:r>
          </w:p>
        </w:tc>
        <w:tc>
          <w:tcPr>
            <w:tcW w:w="469" w:type="pct"/>
            <w:tcMar>
              <w:top w:w="15" w:type="dxa"/>
              <w:left w:w="15" w:type="dxa"/>
              <w:right w:w="15" w:type="dxa"/>
            </w:tcMar>
            <w:vAlign w:val="center"/>
          </w:tcPr>
          <w:p w14:paraId="197325DE">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直接交易</w:t>
            </w:r>
          </w:p>
        </w:tc>
        <w:tc>
          <w:tcPr>
            <w:tcW w:w="997" w:type="pct"/>
            <w:tcMar>
              <w:top w:w="15" w:type="dxa"/>
              <w:left w:w="15" w:type="dxa"/>
              <w:right w:w="15" w:type="dxa"/>
            </w:tcMar>
            <w:vAlign w:val="center"/>
          </w:tcPr>
          <w:p w14:paraId="244E15E2">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协商/竞价/滚动撮合</w:t>
            </w:r>
          </w:p>
        </w:tc>
      </w:tr>
      <w:tr w14:paraId="0B3A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14:paraId="6888E8DA">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rPr>
            </w:pPr>
            <w:r>
              <w:rPr>
                <w:rFonts w:hint="eastAsia" w:ascii="黑体" w:hAnsi="黑体" w:eastAsia="黑体" w:cs="黑体"/>
                <w:color w:val="000000"/>
                <w:kern w:val="0"/>
                <w:sz w:val="21"/>
                <w:szCs w:val="21"/>
                <w:highlight w:val="none"/>
                <w:lang w:val="zh-CN"/>
              </w:rPr>
              <w:t>7</w:t>
            </w:r>
          </w:p>
        </w:tc>
        <w:tc>
          <w:tcPr>
            <w:tcW w:w="696" w:type="pct"/>
            <w:vMerge w:val="continue"/>
            <w:tcMar>
              <w:top w:w="15" w:type="dxa"/>
              <w:left w:w="15" w:type="dxa"/>
              <w:right w:w="15" w:type="dxa"/>
            </w:tcMar>
            <w:vAlign w:val="center"/>
          </w:tcPr>
          <w:p w14:paraId="4596484F">
            <w:pPr>
              <w:widowControl/>
              <w:shd w:val="clear"/>
              <w:spacing w:line="240" w:lineRule="auto"/>
              <w:ind w:firstLine="0" w:firstLineChars="0"/>
              <w:jc w:val="center"/>
              <w:textAlignment w:val="center"/>
              <w:rPr>
                <w:rFonts w:hint="eastAsia" w:asciiTheme="minorHAnsi" w:hAnsiTheme="minorHAnsi" w:eastAsiaTheme="minorEastAsia" w:cstheme="minorBidi"/>
                <w:bCs w:val="0"/>
                <w:color w:val="auto"/>
                <w:kern w:val="2"/>
                <w:sz w:val="21"/>
                <w:szCs w:val="22"/>
                <w:highlight w:val="none"/>
                <w:lang w:val="zh-CN"/>
              </w:rPr>
            </w:pPr>
          </w:p>
        </w:tc>
        <w:tc>
          <w:tcPr>
            <w:tcW w:w="1594" w:type="pct"/>
            <w:tcMar>
              <w:top w:w="15" w:type="dxa"/>
              <w:left w:w="15" w:type="dxa"/>
              <w:right w:w="15" w:type="dxa"/>
            </w:tcMar>
            <w:vAlign w:val="center"/>
          </w:tcPr>
          <w:p w14:paraId="4707C126">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省内月度市场合同电量转让交易</w:t>
            </w:r>
          </w:p>
        </w:tc>
        <w:tc>
          <w:tcPr>
            <w:tcW w:w="868" w:type="pct"/>
            <w:tcMar>
              <w:top w:w="15" w:type="dxa"/>
              <w:left w:w="15" w:type="dxa"/>
              <w:right w:w="15" w:type="dxa"/>
            </w:tcMar>
            <w:vAlign w:val="center"/>
          </w:tcPr>
          <w:p w14:paraId="52248D85">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月度市场合同电量</w:t>
            </w:r>
          </w:p>
        </w:tc>
        <w:tc>
          <w:tcPr>
            <w:tcW w:w="469" w:type="pct"/>
            <w:tcMar>
              <w:top w:w="15" w:type="dxa"/>
              <w:left w:w="15" w:type="dxa"/>
              <w:right w:w="15" w:type="dxa"/>
            </w:tcMar>
            <w:vAlign w:val="center"/>
          </w:tcPr>
          <w:p w14:paraId="346283DD">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转让交易</w:t>
            </w:r>
          </w:p>
        </w:tc>
        <w:tc>
          <w:tcPr>
            <w:tcW w:w="997" w:type="pct"/>
            <w:tcMar>
              <w:top w:w="15" w:type="dxa"/>
              <w:left w:w="15" w:type="dxa"/>
              <w:right w:w="15" w:type="dxa"/>
            </w:tcMar>
            <w:vAlign w:val="center"/>
          </w:tcPr>
          <w:p w14:paraId="2AD4B97E">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协商/挂牌</w:t>
            </w:r>
          </w:p>
        </w:tc>
      </w:tr>
      <w:tr w14:paraId="0037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72" w:type="pct"/>
            <w:tcMar>
              <w:top w:w="15" w:type="dxa"/>
              <w:left w:w="15" w:type="dxa"/>
              <w:right w:w="15" w:type="dxa"/>
            </w:tcMar>
            <w:vAlign w:val="center"/>
          </w:tcPr>
          <w:p w14:paraId="0D338279">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rPr>
            </w:pPr>
            <w:r>
              <w:rPr>
                <w:rFonts w:hint="eastAsia" w:ascii="黑体" w:hAnsi="黑体" w:eastAsia="黑体" w:cs="黑体"/>
                <w:color w:val="000000"/>
                <w:kern w:val="0"/>
                <w:sz w:val="21"/>
                <w:szCs w:val="21"/>
                <w:highlight w:val="none"/>
                <w:lang w:val="zh-CN"/>
              </w:rPr>
              <w:t>8</w:t>
            </w:r>
          </w:p>
        </w:tc>
        <w:tc>
          <w:tcPr>
            <w:tcW w:w="696" w:type="pct"/>
            <w:vMerge w:val="continue"/>
            <w:tcMar>
              <w:top w:w="15" w:type="dxa"/>
              <w:left w:w="15" w:type="dxa"/>
              <w:right w:w="15" w:type="dxa"/>
            </w:tcMar>
            <w:vAlign w:val="center"/>
          </w:tcPr>
          <w:p w14:paraId="39E7431E">
            <w:pPr>
              <w:widowControl/>
              <w:shd w:val="clear"/>
              <w:spacing w:line="240" w:lineRule="auto"/>
              <w:ind w:firstLine="0" w:firstLineChars="0"/>
              <w:jc w:val="center"/>
              <w:textAlignment w:val="center"/>
              <w:rPr>
                <w:rFonts w:hint="eastAsia" w:asciiTheme="minorHAnsi" w:hAnsiTheme="minorHAnsi" w:eastAsiaTheme="minorEastAsia" w:cstheme="minorBidi"/>
                <w:bCs w:val="0"/>
                <w:sz w:val="21"/>
                <w:szCs w:val="22"/>
                <w:highlight w:val="none"/>
              </w:rPr>
            </w:pPr>
          </w:p>
        </w:tc>
        <w:tc>
          <w:tcPr>
            <w:tcW w:w="1594" w:type="pct"/>
            <w:tcMar>
              <w:top w:w="15" w:type="dxa"/>
              <w:left w:w="15" w:type="dxa"/>
              <w:right w:w="15" w:type="dxa"/>
            </w:tcMar>
            <w:vAlign w:val="center"/>
          </w:tcPr>
          <w:p w14:paraId="643DDC32">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省内月度代购电量代购交易</w:t>
            </w:r>
          </w:p>
        </w:tc>
        <w:tc>
          <w:tcPr>
            <w:tcW w:w="868" w:type="pct"/>
            <w:tcMar>
              <w:top w:w="15" w:type="dxa"/>
              <w:left w:w="15" w:type="dxa"/>
              <w:right w:w="15" w:type="dxa"/>
            </w:tcMar>
            <w:vAlign w:val="center"/>
          </w:tcPr>
          <w:p w14:paraId="6D5B49D3">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月度代购电量</w:t>
            </w:r>
          </w:p>
        </w:tc>
        <w:tc>
          <w:tcPr>
            <w:tcW w:w="469" w:type="pct"/>
            <w:tcMar>
              <w:top w:w="15" w:type="dxa"/>
              <w:left w:w="15" w:type="dxa"/>
              <w:right w:w="15" w:type="dxa"/>
            </w:tcMar>
            <w:vAlign w:val="center"/>
          </w:tcPr>
          <w:p w14:paraId="50D477D8">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代购交易</w:t>
            </w:r>
          </w:p>
        </w:tc>
        <w:tc>
          <w:tcPr>
            <w:tcW w:w="997" w:type="pct"/>
            <w:tcMar>
              <w:top w:w="15" w:type="dxa"/>
              <w:left w:w="15" w:type="dxa"/>
              <w:right w:w="15" w:type="dxa"/>
            </w:tcMar>
            <w:vAlign w:val="center"/>
          </w:tcPr>
          <w:p w14:paraId="7AE5B252">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挂牌</w:t>
            </w:r>
          </w:p>
        </w:tc>
      </w:tr>
      <w:tr w14:paraId="4D18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72" w:type="pct"/>
            <w:tcMar>
              <w:top w:w="15" w:type="dxa"/>
              <w:left w:w="15" w:type="dxa"/>
              <w:right w:w="15" w:type="dxa"/>
            </w:tcMar>
            <w:vAlign w:val="center"/>
          </w:tcPr>
          <w:p w14:paraId="679240A9">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eastAsia="zh-CN"/>
              </w:rPr>
            </w:pPr>
            <w:r>
              <w:rPr>
                <w:rFonts w:hint="eastAsia" w:ascii="黑体" w:hAnsi="黑体" w:eastAsia="黑体" w:cs="黑体"/>
                <w:color w:val="000000"/>
                <w:kern w:val="0"/>
                <w:sz w:val="21"/>
                <w:szCs w:val="21"/>
                <w:highlight w:val="none"/>
                <w:lang w:val="zh-CN" w:eastAsia="zh-CN"/>
              </w:rPr>
              <w:t>9</w:t>
            </w:r>
          </w:p>
        </w:tc>
        <w:tc>
          <w:tcPr>
            <w:tcW w:w="696" w:type="pct"/>
            <w:tcMar>
              <w:top w:w="15" w:type="dxa"/>
              <w:left w:w="15" w:type="dxa"/>
              <w:right w:w="15" w:type="dxa"/>
            </w:tcMar>
            <w:vAlign w:val="center"/>
          </w:tcPr>
          <w:p w14:paraId="1FCD39D9">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周交易</w:t>
            </w:r>
          </w:p>
        </w:tc>
        <w:tc>
          <w:tcPr>
            <w:tcW w:w="1594" w:type="pct"/>
            <w:tcMar>
              <w:top w:w="15" w:type="dxa"/>
              <w:left w:w="15" w:type="dxa"/>
              <w:right w:w="15" w:type="dxa"/>
            </w:tcMar>
            <w:vAlign w:val="center"/>
          </w:tcPr>
          <w:p w14:paraId="135434FF">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省内周</w:t>
            </w:r>
            <w:r>
              <w:rPr>
                <w:rFonts w:hint="eastAsia" w:asciiTheme="minorHAnsi" w:hAnsiTheme="minorHAnsi" w:eastAsiaTheme="minorEastAsia" w:cstheme="minorBidi"/>
                <w:sz w:val="21"/>
                <w:szCs w:val="22"/>
                <w:highlight w:val="none"/>
                <w:lang w:eastAsia="zh-CN"/>
              </w:rPr>
              <w:t>（</w:t>
            </w:r>
            <w:r>
              <w:rPr>
                <w:rFonts w:hint="eastAsia" w:asciiTheme="minorHAnsi" w:hAnsiTheme="minorHAnsi" w:eastAsiaTheme="minorEastAsia" w:cstheme="minorBidi"/>
                <w:sz w:val="21"/>
                <w:szCs w:val="22"/>
                <w:highlight w:val="none"/>
                <w:lang w:val="en-US" w:eastAsia="zh-CN"/>
              </w:rPr>
              <w:t>多周</w:t>
            </w:r>
            <w:r>
              <w:rPr>
                <w:rFonts w:hint="eastAsia" w:asciiTheme="minorHAnsi" w:hAnsiTheme="minorHAnsi" w:eastAsiaTheme="minorEastAsia" w:cstheme="minorBidi"/>
                <w:sz w:val="21"/>
                <w:szCs w:val="22"/>
                <w:highlight w:val="none"/>
                <w:lang w:eastAsia="zh-CN"/>
              </w:rPr>
              <w:t>）</w:t>
            </w:r>
            <w:r>
              <w:rPr>
                <w:rFonts w:hint="eastAsia" w:asciiTheme="minorHAnsi" w:hAnsiTheme="minorHAnsi" w:eastAsiaTheme="minorEastAsia" w:cstheme="minorBidi"/>
                <w:sz w:val="21"/>
                <w:szCs w:val="22"/>
                <w:highlight w:val="none"/>
              </w:rPr>
              <w:t>市场电量直接交易</w:t>
            </w:r>
          </w:p>
        </w:tc>
        <w:tc>
          <w:tcPr>
            <w:tcW w:w="868" w:type="pct"/>
            <w:tcMar>
              <w:top w:w="15" w:type="dxa"/>
              <w:left w:w="15" w:type="dxa"/>
              <w:right w:w="15" w:type="dxa"/>
            </w:tcMar>
            <w:vAlign w:val="center"/>
          </w:tcPr>
          <w:p w14:paraId="4AEBEE36">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周</w:t>
            </w:r>
            <w:r>
              <w:rPr>
                <w:rFonts w:hint="eastAsia" w:asciiTheme="minorHAnsi" w:hAnsiTheme="minorHAnsi" w:eastAsiaTheme="minorEastAsia" w:cstheme="minorBidi"/>
                <w:sz w:val="21"/>
                <w:szCs w:val="22"/>
                <w:highlight w:val="none"/>
                <w:lang w:eastAsia="zh-CN"/>
              </w:rPr>
              <w:t>（</w:t>
            </w:r>
            <w:r>
              <w:rPr>
                <w:rFonts w:hint="eastAsia" w:asciiTheme="minorHAnsi" w:hAnsiTheme="minorHAnsi" w:eastAsiaTheme="minorEastAsia" w:cstheme="minorBidi"/>
                <w:sz w:val="21"/>
                <w:szCs w:val="22"/>
                <w:highlight w:val="none"/>
                <w:lang w:val="en-US" w:eastAsia="zh-CN"/>
              </w:rPr>
              <w:t>多周</w:t>
            </w:r>
            <w:r>
              <w:rPr>
                <w:rFonts w:hint="eastAsia" w:asciiTheme="minorHAnsi" w:hAnsiTheme="minorHAnsi" w:eastAsiaTheme="minorEastAsia" w:cstheme="minorBidi"/>
                <w:sz w:val="21"/>
                <w:szCs w:val="22"/>
                <w:highlight w:val="none"/>
                <w:lang w:eastAsia="zh-CN"/>
              </w:rPr>
              <w:t>）</w:t>
            </w:r>
            <w:r>
              <w:rPr>
                <w:rFonts w:hint="eastAsia" w:asciiTheme="minorHAnsi" w:hAnsiTheme="minorHAnsi" w:eastAsiaTheme="minorEastAsia" w:cstheme="minorBidi"/>
                <w:sz w:val="21"/>
                <w:szCs w:val="22"/>
                <w:highlight w:val="none"/>
              </w:rPr>
              <w:t>市场电量</w:t>
            </w:r>
          </w:p>
        </w:tc>
        <w:tc>
          <w:tcPr>
            <w:tcW w:w="469" w:type="pct"/>
            <w:tcMar>
              <w:top w:w="15" w:type="dxa"/>
              <w:left w:w="15" w:type="dxa"/>
              <w:right w:w="15" w:type="dxa"/>
            </w:tcMar>
            <w:vAlign w:val="center"/>
          </w:tcPr>
          <w:p w14:paraId="19954E32">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直接交易</w:t>
            </w:r>
          </w:p>
        </w:tc>
        <w:tc>
          <w:tcPr>
            <w:tcW w:w="997" w:type="pct"/>
            <w:tcMar>
              <w:top w:w="15" w:type="dxa"/>
              <w:left w:w="15" w:type="dxa"/>
              <w:right w:w="15" w:type="dxa"/>
            </w:tcMar>
            <w:vAlign w:val="center"/>
          </w:tcPr>
          <w:p w14:paraId="2EE56EA1">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rPr>
            </w:pPr>
            <w:r>
              <w:rPr>
                <w:rFonts w:hint="eastAsia" w:asciiTheme="minorHAnsi" w:hAnsiTheme="minorHAnsi" w:eastAsiaTheme="minorEastAsia" w:cstheme="minorBidi"/>
                <w:sz w:val="21"/>
                <w:szCs w:val="22"/>
                <w:highlight w:val="none"/>
              </w:rPr>
              <w:t>协商/竞价/撮合/挂牌</w:t>
            </w:r>
          </w:p>
        </w:tc>
      </w:tr>
      <w:tr w14:paraId="4986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72" w:type="pct"/>
            <w:tcMar>
              <w:top w:w="15" w:type="dxa"/>
              <w:left w:w="15" w:type="dxa"/>
              <w:right w:w="15" w:type="dxa"/>
            </w:tcMar>
            <w:vAlign w:val="center"/>
          </w:tcPr>
          <w:p w14:paraId="447DE0A6">
            <w:pPr>
              <w:widowControl/>
              <w:shd w:val="clear"/>
              <w:spacing w:line="240" w:lineRule="auto"/>
              <w:ind w:left="-83" w:leftChars="-26" w:firstLine="54" w:firstLineChars="26"/>
              <w:jc w:val="center"/>
              <w:textAlignment w:val="center"/>
              <w:rPr>
                <w:rFonts w:hint="eastAsia" w:ascii="黑体" w:hAnsi="黑体" w:eastAsia="黑体" w:cs="黑体"/>
                <w:color w:val="000000"/>
                <w:kern w:val="0"/>
                <w:sz w:val="21"/>
                <w:szCs w:val="21"/>
                <w:highlight w:val="none"/>
                <w:lang w:val="zh-CN" w:eastAsia="zh-CN"/>
              </w:rPr>
            </w:pPr>
            <w:r>
              <w:rPr>
                <w:rFonts w:hint="eastAsia" w:ascii="黑体" w:hAnsi="黑体" w:eastAsia="黑体" w:cs="黑体"/>
                <w:color w:val="000000"/>
                <w:kern w:val="0"/>
                <w:sz w:val="21"/>
                <w:szCs w:val="21"/>
                <w:highlight w:val="none"/>
                <w:lang w:val="zh-CN"/>
              </w:rPr>
              <w:t>1</w:t>
            </w:r>
            <w:r>
              <w:rPr>
                <w:rFonts w:hint="eastAsia" w:ascii="黑体" w:hAnsi="黑体" w:eastAsia="黑体" w:cs="黑体"/>
                <w:color w:val="000000"/>
                <w:kern w:val="0"/>
                <w:sz w:val="21"/>
                <w:szCs w:val="21"/>
                <w:highlight w:val="none"/>
                <w:lang w:val="zh-CN" w:eastAsia="zh-CN"/>
              </w:rPr>
              <w:t>0</w:t>
            </w:r>
          </w:p>
        </w:tc>
        <w:tc>
          <w:tcPr>
            <w:tcW w:w="696" w:type="pct"/>
            <w:vMerge w:val="restart"/>
            <w:tcMar>
              <w:top w:w="15" w:type="dxa"/>
              <w:left w:w="15" w:type="dxa"/>
              <w:right w:w="15" w:type="dxa"/>
            </w:tcMar>
            <w:vAlign w:val="center"/>
          </w:tcPr>
          <w:p w14:paraId="32B0211C">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日交易</w:t>
            </w:r>
          </w:p>
          <w:p w14:paraId="39907C20">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p>
        </w:tc>
        <w:tc>
          <w:tcPr>
            <w:tcW w:w="1594" w:type="pct"/>
            <w:tcMar>
              <w:top w:w="15" w:type="dxa"/>
              <w:left w:w="15" w:type="dxa"/>
              <w:right w:w="15" w:type="dxa"/>
            </w:tcMar>
            <w:vAlign w:val="center"/>
          </w:tcPr>
          <w:p w14:paraId="4C67BF02">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省内日（多日）市场电量直接交易</w:t>
            </w:r>
          </w:p>
        </w:tc>
        <w:tc>
          <w:tcPr>
            <w:tcW w:w="868" w:type="pct"/>
            <w:tcMar>
              <w:top w:w="15" w:type="dxa"/>
              <w:left w:w="15" w:type="dxa"/>
              <w:right w:w="15" w:type="dxa"/>
            </w:tcMar>
            <w:vAlign w:val="center"/>
          </w:tcPr>
          <w:p w14:paraId="119AC339">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日（多日）市场电量</w:t>
            </w:r>
          </w:p>
        </w:tc>
        <w:tc>
          <w:tcPr>
            <w:tcW w:w="469" w:type="pct"/>
            <w:tcMar>
              <w:top w:w="15" w:type="dxa"/>
              <w:left w:w="15" w:type="dxa"/>
              <w:right w:w="15" w:type="dxa"/>
            </w:tcMar>
            <w:vAlign w:val="center"/>
          </w:tcPr>
          <w:p w14:paraId="760F5467">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直接交易</w:t>
            </w:r>
          </w:p>
        </w:tc>
        <w:tc>
          <w:tcPr>
            <w:tcW w:w="997" w:type="pct"/>
            <w:tcMar>
              <w:top w:w="15" w:type="dxa"/>
              <w:left w:w="15" w:type="dxa"/>
              <w:right w:w="15" w:type="dxa"/>
            </w:tcMar>
            <w:vAlign w:val="center"/>
          </w:tcPr>
          <w:p w14:paraId="390C3BDF">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协商/竞价/滚动撮合</w:t>
            </w:r>
          </w:p>
        </w:tc>
      </w:tr>
      <w:tr w14:paraId="3C32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72" w:type="pct"/>
            <w:tcMar>
              <w:top w:w="15" w:type="dxa"/>
              <w:left w:w="15" w:type="dxa"/>
              <w:right w:w="15" w:type="dxa"/>
            </w:tcMar>
            <w:vAlign w:val="center"/>
          </w:tcPr>
          <w:p w14:paraId="192CC711">
            <w:pPr>
              <w:widowControl/>
              <w:shd w:val="clear"/>
              <w:spacing w:line="240" w:lineRule="auto"/>
              <w:ind w:left="-83" w:leftChars="-26" w:firstLine="54" w:firstLineChars="26"/>
              <w:jc w:val="center"/>
              <w:textAlignment w:val="center"/>
              <w:rPr>
                <w:rFonts w:hint="default" w:ascii="黑体" w:hAnsi="黑体" w:eastAsia="黑体" w:cs="黑体"/>
                <w:color w:val="000000"/>
                <w:kern w:val="0"/>
                <w:sz w:val="21"/>
                <w:szCs w:val="21"/>
                <w:highlight w:val="none"/>
                <w:lang w:val="en-US" w:eastAsia="zh-CN"/>
              </w:rPr>
            </w:pPr>
            <w:r>
              <w:rPr>
                <w:rFonts w:hint="eastAsia" w:ascii="黑体" w:hAnsi="黑体" w:eastAsia="黑体" w:cs="黑体"/>
                <w:color w:val="000000"/>
                <w:kern w:val="0"/>
                <w:sz w:val="21"/>
                <w:szCs w:val="21"/>
                <w:highlight w:val="none"/>
                <w:lang w:val="en-US" w:eastAsia="zh-CN"/>
              </w:rPr>
              <w:t>11</w:t>
            </w:r>
          </w:p>
        </w:tc>
        <w:tc>
          <w:tcPr>
            <w:tcW w:w="696" w:type="pct"/>
            <w:vMerge w:val="continue"/>
            <w:tcMar>
              <w:top w:w="15" w:type="dxa"/>
              <w:left w:w="15" w:type="dxa"/>
              <w:right w:w="15" w:type="dxa"/>
            </w:tcMar>
            <w:vAlign w:val="center"/>
          </w:tcPr>
          <w:p w14:paraId="0E27691F">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p>
        </w:tc>
        <w:tc>
          <w:tcPr>
            <w:tcW w:w="1594" w:type="pct"/>
            <w:tcMar>
              <w:top w:w="15" w:type="dxa"/>
              <w:left w:w="15" w:type="dxa"/>
              <w:right w:w="15" w:type="dxa"/>
            </w:tcMar>
            <w:vAlign w:val="center"/>
          </w:tcPr>
          <w:p w14:paraId="2C1BC891">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省内日（多日）市场合同电量转让交易</w:t>
            </w:r>
          </w:p>
        </w:tc>
        <w:tc>
          <w:tcPr>
            <w:tcW w:w="868" w:type="pct"/>
            <w:tcMar>
              <w:top w:w="15" w:type="dxa"/>
              <w:left w:w="15" w:type="dxa"/>
              <w:right w:w="15" w:type="dxa"/>
            </w:tcMar>
            <w:vAlign w:val="center"/>
          </w:tcPr>
          <w:p w14:paraId="33F541C9">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日（多日）市场合同电量</w:t>
            </w:r>
          </w:p>
        </w:tc>
        <w:tc>
          <w:tcPr>
            <w:tcW w:w="469" w:type="pct"/>
            <w:tcMar>
              <w:top w:w="15" w:type="dxa"/>
              <w:left w:w="15" w:type="dxa"/>
              <w:right w:w="15" w:type="dxa"/>
            </w:tcMar>
            <w:vAlign w:val="center"/>
          </w:tcPr>
          <w:p w14:paraId="0972E31F">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转让交易</w:t>
            </w:r>
          </w:p>
        </w:tc>
        <w:tc>
          <w:tcPr>
            <w:tcW w:w="997" w:type="pct"/>
            <w:tcMar>
              <w:top w:w="15" w:type="dxa"/>
              <w:left w:w="15" w:type="dxa"/>
              <w:right w:w="15" w:type="dxa"/>
            </w:tcMar>
            <w:vAlign w:val="center"/>
          </w:tcPr>
          <w:p w14:paraId="370B81AB">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r>
              <w:rPr>
                <w:rFonts w:hint="eastAsia" w:asciiTheme="minorHAnsi" w:hAnsiTheme="minorHAnsi" w:eastAsiaTheme="minorEastAsia" w:cstheme="minorBidi"/>
                <w:sz w:val="21"/>
                <w:szCs w:val="22"/>
                <w:highlight w:val="none"/>
              </w:rPr>
              <w:t>协商/挂牌</w:t>
            </w:r>
          </w:p>
        </w:tc>
      </w:tr>
      <w:tr w14:paraId="2B4A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72" w:type="pct"/>
            <w:tcMar>
              <w:top w:w="15" w:type="dxa"/>
              <w:left w:w="15" w:type="dxa"/>
              <w:right w:w="15" w:type="dxa"/>
            </w:tcMar>
            <w:vAlign w:val="center"/>
          </w:tcPr>
          <w:p w14:paraId="2B769600">
            <w:pPr>
              <w:widowControl/>
              <w:shd w:val="clear"/>
              <w:spacing w:line="240" w:lineRule="auto"/>
              <w:ind w:left="-83" w:leftChars="-26" w:firstLine="54" w:firstLineChars="26"/>
              <w:jc w:val="center"/>
              <w:textAlignment w:val="center"/>
              <w:rPr>
                <w:rFonts w:hint="default" w:ascii="黑体" w:hAnsi="黑体" w:eastAsia="黑体" w:cs="黑体"/>
                <w:color w:val="000000"/>
                <w:kern w:val="0"/>
                <w:sz w:val="21"/>
                <w:szCs w:val="21"/>
                <w:highlight w:val="none"/>
                <w:lang w:val="en-US" w:eastAsia="zh-CN"/>
              </w:rPr>
            </w:pPr>
            <w:r>
              <w:rPr>
                <w:rFonts w:hint="eastAsia" w:ascii="黑体" w:hAnsi="黑体" w:eastAsia="黑体" w:cs="黑体"/>
                <w:color w:val="000000"/>
                <w:kern w:val="0"/>
                <w:sz w:val="21"/>
                <w:szCs w:val="21"/>
                <w:highlight w:val="none"/>
                <w:lang w:val="en-US" w:eastAsia="zh-CN"/>
              </w:rPr>
              <w:t>12</w:t>
            </w:r>
          </w:p>
        </w:tc>
        <w:tc>
          <w:tcPr>
            <w:tcW w:w="696" w:type="pct"/>
            <w:vMerge w:val="continue"/>
            <w:tcMar>
              <w:top w:w="15" w:type="dxa"/>
              <w:left w:w="15" w:type="dxa"/>
              <w:right w:w="15" w:type="dxa"/>
            </w:tcMar>
            <w:vAlign w:val="center"/>
          </w:tcPr>
          <w:p w14:paraId="240540D4">
            <w:pPr>
              <w:widowControl/>
              <w:shd w:val="clear"/>
              <w:spacing w:line="240" w:lineRule="auto"/>
              <w:ind w:firstLine="0" w:firstLineChars="0"/>
              <w:jc w:val="center"/>
              <w:textAlignment w:val="center"/>
              <w:rPr>
                <w:rFonts w:hint="eastAsia" w:asciiTheme="minorHAnsi" w:hAnsiTheme="minorHAnsi" w:eastAsiaTheme="minorEastAsia" w:cstheme="minorBidi"/>
                <w:sz w:val="21"/>
                <w:szCs w:val="22"/>
                <w:highlight w:val="none"/>
              </w:rPr>
            </w:pPr>
          </w:p>
        </w:tc>
        <w:tc>
          <w:tcPr>
            <w:tcW w:w="1594" w:type="pct"/>
            <w:tcMar>
              <w:top w:w="15" w:type="dxa"/>
              <w:left w:w="15" w:type="dxa"/>
              <w:right w:w="15" w:type="dxa"/>
            </w:tcMar>
            <w:vAlign w:val="center"/>
          </w:tcPr>
          <w:p w14:paraId="35D70F06">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eastAsia="zh-CN" w:bidi="ar-SA"/>
              </w:rPr>
            </w:pPr>
            <w:r>
              <w:rPr>
                <w:rFonts w:hint="eastAsia" w:asciiTheme="minorHAnsi" w:hAnsiTheme="minorHAnsi" w:eastAsiaTheme="minorEastAsia" w:cstheme="minorBidi"/>
                <w:sz w:val="21"/>
                <w:szCs w:val="22"/>
                <w:highlight w:val="none"/>
              </w:rPr>
              <w:t>省内日（多日）代购电量代购交易</w:t>
            </w:r>
          </w:p>
        </w:tc>
        <w:tc>
          <w:tcPr>
            <w:tcW w:w="868" w:type="pct"/>
            <w:tcMar>
              <w:top w:w="15" w:type="dxa"/>
              <w:left w:w="15" w:type="dxa"/>
              <w:right w:w="15" w:type="dxa"/>
            </w:tcMar>
            <w:vAlign w:val="center"/>
          </w:tcPr>
          <w:p w14:paraId="50985F9C">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eastAsia="zh-CN" w:bidi="ar-SA"/>
              </w:rPr>
            </w:pPr>
            <w:r>
              <w:rPr>
                <w:rFonts w:hint="eastAsia" w:asciiTheme="minorHAnsi" w:hAnsiTheme="minorHAnsi" w:eastAsiaTheme="minorEastAsia" w:cstheme="minorBidi"/>
                <w:sz w:val="21"/>
                <w:szCs w:val="22"/>
                <w:highlight w:val="none"/>
              </w:rPr>
              <w:t>日（多日）代购电量</w:t>
            </w:r>
          </w:p>
        </w:tc>
        <w:tc>
          <w:tcPr>
            <w:tcW w:w="469" w:type="pct"/>
            <w:tcMar>
              <w:top w:w="15" w:type="dxa"/>
              <w:left w:w="15" w:type="dxa"/>
              <w:right w:w="15" w:type="dxa"/>
            </w:tcMar>
            <w:vAlign w:val="center"/>
          </w:tcPr>
          <w:p w14:paraId="3CE6AD4E">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eastAsia="zh-CN" w:bidi="ar-SA"/>
              </w:rPr>
            </w:pPr>
            <w:r>
              <w:rPr>
                <w:rFonts w:hint="eastAsia" w:asciiTheme="minorHAnsi" w:hAnsiTheme="minorHAnsi" w:eastAsiaTheme="minorEastAsia" w:cstheme="minorBidi"/>
                <w:sz w:val="21"/>
                <w:szCs w:val="22"/>
                <w:highlight w:val="none"/>
              </w:rPr>
              <w:t>代购交易</w:t>
            </w:r>
          </w:p>
        </w:tc>
        <w:tc>
          <w:tcPr>
            <w:tcW w:w="997" w:type="pct"/>
            <w:tcMar>
              <w:top w:w="15" w:type="dxa"/>
              <w:left w:w="15" w:type="dxa"/>
              <w:right w:w="15" w:type="dxa"/>
            </w:tcMar>
            <w:vAlign w:val="center"/>
          </w:tcPr>
          <w:p w14:paraId="3590540A">
            <w:pPr>
              <w:widowControl/>
              <w:shd w:val="clear"/>
              <w:spacing w:line="240" w:lineRule="auto"/>
              <w:ind w:firstLine="0" w:firstLineChars="0"/>
              <w:jc w:val="center"/>
              <w:textAlignment w:val="center"/>
              <w:rPr>
                <w:rFonts w:hint="eastAsia" w:asciiTheme="minorHAnsi" w:hAnsiTheme="minorHAnsi" w:eastAsiaTheme="minorEastAsia" w:cstheme="minorBidi"/>
                <w:color w:val="auto"/>
                <w:kern w:val="2"/>
                <w:sz w:val="21"/>
                <w:szCs w:val="22"/>
                <w:highlight w:val="none"/>
                <w:lang w:val="zh-CN" w:eastAsia="zh-CN" w:bidi="ar-SA"/>
              </w:rPr>
            </w:pPr>
            <w:r>
              <w:rPr>
                <w:rFonts w:hint="eastAsia" w:asciiTheme="minorHAnsi" w:hAnsiTheme="minorHAnsi" w:eastAsiaTheme="minorEastAsia" w:cstheme="minorBidi"/>
                <w:sz w:val="21"/>
                <w:szCs w:val="22"/>
                <w:highlight w:val="none"/>
              </w:rPr>
              <w:t>挂牌</w:t>
            </w:r>
          </w:p>
        </w:tc>
      </w:tr>
    </w:tbl>
    <w:p w14:paraId="45954D6C">
      <w:pPr>
        <w:pStyle w:val="2"/>
        <w:shd w:val="clear"/>
        <w:ind w:left="0" w:leftChars="0" w:firstLine="0" w:firstLineChars="0"/>
        <w:rPr>
          <w:rFonts w:hint="eastAsia" w:ascii="仿宋" w:hAnsi="仿宋" w:cs="仿宋"/>
          <w:szCs w:val="32"/>
          <w:highlight w:val="none"/>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fmt="decimal"/>
      <w:cols w:space="425" w:num="1"/>
      <w:docGrid w:type="lines" w:linePitch="43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度" w:date="2024-10-22T22:02:43Z" w:initials="">
    <w:p w14:paraId="510E7240">
      <w:pPr>
        <w:pStyle w:val="5"/>
        <w:rPr>
          <w:rFonts w:hint="default" w:eastAsia="仿宋"/>
          <w:lang w:val="en-US" w:eastAsia="zh-CN"/>
        </w:rPr>
      </w:pPr>
      <w:r>
        <w:rPr>
          <w:rFonts w:hint="eastAsia"/>
          <w:lang w:val="en-US" w:eastAsia="zh-CN"/>
        </w:rPr>
        <w:t>综合处建议明确定义？？？</w:t>
      </w:r>
    </w:p>
  </w:comment>
  <w:comment w:id="1" w:author="度" w:date="2024-10-22T22:10:05Z" w:initials="">
    <w:p w14:paraId="5DFB2FE8">
      <w:pPr>
        <w:pStyle w:val="5"/>
        <w:rPr>
          <w:rFonts w:hint="default" w:eastAsia="仿宋"/>
          <w:lang w:val="en-US" w:eastAsia="zh-CN"/>
        </w:rPr>
      </w:pPr>
      <w:r>
        <w:rPr>
          <w:rFonts w:hint="eastAsia"/>
          <w:lang w:val="en-US" w:eastAsia="zh-CN"/>
        </w:rPr>
        <w:t>删掉是因为与第四十条（5）重复</w:t>
      </w:r>
    </w:p>
  </w:comment>
  <w:comment w:id="2" w:author="度" w:date="2024-10-22T22:13:48Z" w:initials="">
    <w:p w14:paraId="3C7A7E89">
      <w:pPr>
        <w:pStyle w:val="5"/>
        <w:rPr>
          <w:rFonts w:hint="default" w:eastAsia="仿宋"/>
          <w:lang w:val="en-US" w:eastAsia="zh-CN"/>
        </w:rPr>
      </w:pPr>
      <w:r>
        <w:rPr>
          <w:rFonts w:hint="eastAsia"/>
          <w:lang w:val="en-US" w:eastAsia="zh-CN"/>
        </w:rPr>
        <w:t>删掉的原因：第二章市场成员处第八条已有说明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0E7240" w15:done="0"/>
  <w15:commentEx w15:paraId="5DFB2FE8" w15:done="0"/>
  <w15:commentEx w15:paraId="3C7A7E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E50D89-503E-46CA-938F-8DAB272BFC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0D291A8-AB31-43A0-99E2-ED2E0C479790}"/>
  </w:font>
  <w:font w:name="仿宋">
    <w:panose1 w:val="02010609060101010101"/>
    <w:charset w:val="86"/>
    <w:family w:val="modern"/>
    <w:pitch w:val="default"/>
    <w:sig w:usb0="800002BF" w:usb1="38CF7CFA" w:usb2="00000016" w:usb3="00000000" w:csb0="00040001" w:csb1="00000000"/>
    <w:embedRegular r:id="rId3" w:fontKey="{95B75A65-19AC-4880-9A7F-FAB5707705D9}"/>
  </w:font>
  <w:font w:name="楷体">
    <w:panose1 w:val="02010609060101010101"/>
    <w:charset w:val="86"/>
    <w:family w:val="modern"/>
    <w:pitch w:val="default"/>
    <w:sig w:usb0="800002BF" w:usb1="38CF7CFA" w:usb2="00000016" w:usb3="00000000" w:csb0="00040001" w:csb1="00000000"/>
    <w:embedRegular r:id="rId4" w:fontKey="{61C07538-D21E-4413-BCD8-661567E6DAAC}"/>
  </w:font>
  <w:font w:name="方正仿宋_GBK">
    <w:panose1 w:val="02000000000000000000"/>
    <w:charset w:val="86"/>
    <w:family w:val="auto"/>
    <w:pitch w:val="default"/>
    <w:sig w:usb0="A00002BF" w:usb1="38CF7CFA" w:usb2="00082016" w:usb3="00000000" w:csb0="00040001" w:csb1="00000000"/>
    <w:embedRegular r:id="rId5" w:fontKey="{CCC3AEDB-4BF7-44CA-891B-4A1AF1E25222}"/>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6" w:fontKey="{3CD06C25-850F-40F1-849F-C6B8C98D66B4}"/>
  </w:font>
  <w:font w:name="华文仿宋">
    <w:panose1 w:val="02010600040101010101"/>
    <w:charset w:val="86"/>
    <w:family w:val="auto"/>
    <w:pitch w:val="default"/>
    <w:sig w:usb0="00000287" w:usb1="080F0000" w:usb2="00000000" w:usb3="00000000" w:csb0="0004009F" w:csb1="DFD70000"/>
    <w:embedRegular r:id="rId7" w:fontKey="{52F5B2E9-6B3B-4378-BDC5-3C1E0CB37588}"/>
  </w:font>
  <w:font w:name="方正黑体简体">
    <w:panose1 w:val="02000000000000000000"/>
    <w:charset w:val="86"/>
    <w:family w:val="auto"/>
    <w:pitch w:val="default"/>
    <w:sig w:usb0="00000001" w:usb1="080E0000" w:usb2="00000000" w:usb3="00000000" w:csb0="00040000" w:csb1="00000000"/>
    <w:embedRegular r:id="rId8" w:fontKey="{0F958C9D-26E4-4503-B2B1-60A2B249759E}"/>
  </w:font>
  <w:font w:name="方正小标宋_GBK">
    <w:panose1 w:val="02000000000000000000"/>
    <w:charset w:val="86"/>
    <w:family w:val="script"/>
    <w:pitch w:val="default"/>
    <w:sig w:usb0="A00002BF" w:usb1="38CF7CFA" w:usb2="00082016" w:usb3="00000000" w:csb0="00040001" w:csb1="00000000"/>
    <w:embedRegular r:id="rId9" w:fontKey="{C4227DB7-7A92-43FA-8E3E-7D258F6D691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EAC1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42855">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6A42855">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E9B5">
    <w:pPr>
      <w:pStyle w:val="8"/>
      <w:ind w:firstLine="360" w:firstLineChars="0"/>
      <w:jc w:val="right"/>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2443D">
                          <w:pPr>
                            <w:pStyle w:val="8"/>
                            <w:ind w:firstLine="360" w:firstLineChars="0"/>
                            <w:jc w:val="right"/>
                          </w:pPr>
                          <w:r>
                            <w:t xml:space="preserve">— </w:t>
                          </w:r>
                          <w:r>
                            <w:fldChar w:fldCharType="begin"/>
                          </w:r>
                          <w:r>
                            <w:instrText xml:space="preserve"> PAGE  \* MERGEFORMAT </w:instrText>
                          </w:r>
                          <w:r>
                            <w:fldChar w:fldCharType="separate"/>
                          </w:r>
                          <w:r>
                            <w:t>62</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7292443D">
                    <w:pPr>
                      <w:pStyle w:val="8"/>
                      <w:ind w:firstLine="360" w:firstLineChars="0"/>
                      <w:jc w:val="right"/>
                    </w:pPr>
                    <w:r>
                      <w:t xml:space="preserve">— </w:t>
                    </w:r>
                    <w:r>
                      <w:fldChar w:fldCharType="begin"/>
                    </w:r>
                    <w:r>
                      <w:instrText xml:space="preserve"> PAGE  \* MERGEFORMAT </w:instrText>
                    </w:r>
                    <w:r>
                      <w:fldChar w:fldCharType="separate"/>
                    </w:r>
                    <w:r>
                      <w:t>62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33FF">
    <w:pPr>
      <w:pStyle w:val="8"/>
      <w:ind w:firstLine="0" w:firstLineChars="0"/>
      <w:rPr>
        <w:sz w:val="21"/>
      </w:rPr>
    </w:pPr>
    <w:r>
      <w:rPr>
        <w:rFonts w:hint="eastAsia"/>
        <w:sz w:val="21"/>
      </w:rPr>
      <w:t>—</w:t>
    </w:r>
    <w:r>
      <w:rPr>
        <w:sz w:val="21"/>
      </w:rPr>
      <w:t xml:space="preserve"> </w:t>
    </w:r>
    <w:r>
      <w:rPr>
        <w:sz w:val="21"/>
      </w:rPr>
      <w:fldChar w:fldCharType="begin"/>
    </w:r>
    <w:r>
      <w:rPr>
        <w:sz w:val="21"/>
      </w:rPr>
      <w:instrText xml:space="preserve">PAGE   \* MERGEFORMAT</w:instrText>
    </w:r>
    <w:r>
      <w:rPr>
        <w:sz w:val="21"/>
      </w:rPr>
      <w:fldChar w:fldCharType="separate"/>
    </w:r>
    <w:r>
      <w:t>2</w:t>
    </w:r>
    <w:r>
      <w:rPr>
        <w:sz w:val="21"/>
      </w:rPr>
      <w:fldChar w:fldCharType="end"/>
    </w:r>
    <w:r>
      <w:rPr>
        <w:sz w:val="21"/>
      </w:rPr>
      <w:t xml:space="preserve"> </w:t>
    </w:r>
    <w:r>
      <w:rPr>
        <w:rFonts w:hint="eastAsia"/>
        <w:sz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8FB9">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5C7A">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49622">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D4D7">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2F881"/>
    <w:multiLevelType w:val="singleLevel"/>
    <w:tmpl w:val="C662F881"/>
    <w:lvl w:ilvl="0" w:tentative="0">
      <w:start w:val="1"/>
      <w:numFmt w:val="chineseCounting"/>
      <w:suff w:val="nothing"/>
      <w:lvlText w:val="（%1）"/>
      <w:lvlJc w:val="left"/>
      <w:pPr>
        <w:ind w:left="0" w:firstLine="420"/>
      </w:pPr>
      <w:rPr>
        <w:rFonts w:hint="eastAsia"/>
      </w:rPr>
    </w:lvl>
  </w:abstractNum>
  <w:abstractNum w:abstractNumId="1">
    <w:nsid w:val="D05291AF"/>
    <w:multiLevelType w:val="singleLevel"/>
    <w:tmpl w:val="D05291AF"/>
    <w:lvl w:ilvl="0" w:tentative="0">
      <w:start w:val="1"/>
      <w:numFmt w:val="chineseCounting"/>
      <w:suff w:val="nothing"/>
      <w:lvlText w:val="（%1）"/>
      <w:lvlJc w:val="left"/>
      <w:pPr>
        <w:ind w:left="0" w:firstLine="420"/>
      </w:pPr>
      <w:rPr>
        <w:rFonts w:hint="eastAsia"/>
      </w:rPr>
    </w:lvl>
  </w:abstractNum>
  <w:abstractNum w:abstractNumId="2">
    <w:nsid w:val="E782F70E"/>
    <w:multiLevelType w:val="multilevel"/>
    <w:tmpl w:val="E782F70E"/>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00000007"/>
    <w:multiLevelType w:val="multilevel"/>
    <w:tmpl w:val="00000007"/>
    <w:lvl w:ilvl="0" w:tentative="0">
      <w:start w:val="1"/>
      <w:numFmt w:val="chineseCountingThousand"/>
      <w:pStyle w:val="35"/>
      <w:lvlText w:val="第%1条"/>
      <w:lvlJc w:val="left"/>
      <w:pPr>
        <w:tabs>
          <w:tab w:val="left" w:pos="1418"/>
        </w:tabs>
        <w:ind w:left="227" w:firstLine="624"/>
      </w:pPr>
      <w:rPr>
        <w:b/>
        <w:lang w:val="en-US"/>
      </w:rPr>
    </w:lvl>
    <w:lvl w:ilvl="1" w:tentative="0">
      <w:start w:val="1"/>
      <w:numFmt w:val="decimal"/>
      <w:lvlText w:val="%1.%2"/>
      <w:lvlJc w:val="left"/>
      <w:pPr>
        <w:ind w:left="-142" w:hanging="567"/>
      </w:pPr>
      <w:rPr>
        <w:rFonts w:hint="eastAsia"/>
      </w:rPr>
    </w:lvl>
    <w:lvl w:ilvl="2" w:tentative="0">
      <w:start w:val="1"/>
      <w:numFmt w:val="decimal"/>
      <w:lvlText w:val="%1.%2.%3"/>
      <w:lvlJc w:val="left"/>
      <w:pPr>
        <w:ind w:left="284" w:hanging="567"/>
      </w:pPr>
      <w:rPr>
        <w:rFonts w:hint="eastAsia"/>
      </w:rPr>
    </w:lvl>
    <w:lvl w:ilvl="3" w:tentative="0">
      <w:start w:val="1"/>
      <w:numFmt w:val="decimal"/>
      <w:lvlText w:val="%1.%2.%3.%4"/>
      <w:lvlJc w:val="left"/>
      <w:pPr>
        <w:ind w:left="850" w:hanging="708"/>
      </w:pPr>
      <w:rPr>
        <w:rFonts w:hint="eastAsia"/>
      </w:rPr>
    </w:lvl>
    <w:lvl w:ilvl="4" w:tentative="0">
      <w:start w:val="1"/>
      <w:numFmt w:val="decimal"/>
      <w:lvlText w:val="%1.%2.%3.%4.%5"/>
      <w:lvlJc w:val="left"/>
      <w:pPr>
        <w:ind w:left="1417" w:hanging="850"/>
      </w:pPr>
      <w:rPr>
        <w:rFonts w:hint="eastAsia"/>
      </w:rPr>
    </w:lvl>
    <w:lvl w:ilvl="5" w:tentative="0">
      <w:start w:val="1"/>
      <w:numFmt w:val="decimal"/>
      <w:lvlText w:val="%1.%2.%3.%4.%5.%6"/>
      <w:lvlJc w:val="left"/>
      <w:pPr>
        <w:ind w:left="2126" w:hanging="1134"/>
      </w:pPr>
      <w:rPr>
        <w:rFonts w:hint="eastAsia"/>
      </w:rPr>
    </w:lvl>
    <w:lvl w:ilvl="6" w:tentative="0">
      <w:start w:val="1"/>
      <w:numFmt w:val="decimal"/>
      <w:lvlText w:val="%1.%2.%3.%4.%5.%6.%7"/>
      <w:lvlJc w:val="left"/>
      <w:pPr>
        <w:ind w:left="2693" w:hanging="1276"/>
      </w:pPr>
      <w:rPr>
        <w:rFonts w:hint="eastAsia"/>
      </w:rPr>
    </w:lvl>
    <w:lvl w:ilvl="7" w:tentative="0">
      <w:start w:val="1"/>
      <w:numFmt w:val="decimal"/>
      <w:lvlText w:val="%1.%2.%3.%4.%5.%6.%7.%8"/>
      <w:lvlJc w:val="left"/>
      <w:pPr>
        <w:ind w:left="3260" w:hanging="1418"/>
      </w:pPr>
      <w:rPr>
        <w:rFonts w:hint="eastAsia"/>
      </w:rPr>
    </w:lvl>
    <w:lvl w:ilvl="8" w:tentative="0">
      <w:start w:val="1"/>
      <w:numFmt w:val="decimal"/>
      <w:lvlText w:val="%1.%2.%3.%4.%5.%6.%7.%8.%9"/>
      <w:lvlJc w:val="left"/>
      <w:pPr>
        <w:ind w:left="3968" w:hanging="1700"/>
      </w:pPr>
      <w:rPr>
        <w:rFonts w:hint="eastAsia"/>
      </w:rPr>
    </w:lvl>
  </w:abstractNum>
  <w:abstractNum w:abstractNumId="4">
    <w:nsid w:val="0053208E"/>
    <w:multiLevelType w:val="singleLevel"/>
    <w:tmpl w:val="0053208E"/>
    <w:lvl w:ilvl="0" w:tentative="0">
      <w:start w:val="1"/>
      <w:numFmt w:val="chineseCounting"/>
      <w:suff w:val="nothing"/>
      <w:lvlText w:val="第%1条 "/>
      <w:lvlJc w:val="left"/>
      <w:pPr>
        <w:ind w:left="0" w:firstLine="0"/>
      </w:pPr>
      <w:rPr>
        <w:rFonts w:hint="eastAsia" w:ascii="Times New Roman" w:hAnsi="Times New Roman" w:eastAsia="楷体"/>
        <w:color w:val="auto"/>
        <w:sz w:val="32"/>
      </w:rPr>
    </w:lvl>
  </w:abstractNum>
  <w:abstractNum w:abstractNumId="5">
    <w:nsid w:val="07A60E31"/>
    <w:multiLevelType w:val="singleLevel"/>
    <w:tmpl w:val="07A60E31"/>
    <w:lvl w:ilvl="0" w:tentative="0">
      <w:start w:val="1"/>
      <w:numFmt w:val="chineseCounting"/>
      <w:suff w:val="nothing"/>
      <w:lvlText w:val="（%1）"/>
      <w:lvlJc w:val="left"/>
      <w:pPr>
        <w:ind w:left="0" w:firstLine="420"/>
      </w:pPr>
      <w:rPr>
        <w:rFonts w:hint="eastAsia"/>
      </w:rPr>
    </w:lvl>
  </w:abstractNum>
  <w:abstractNum w:abstractNumId="6">
    <w:nsid w:val="1C6DB6C6"/>
    <w:multiLevelType w:val="singleLevel"/>
    <w:tmpl w:val="1C6DB6C6"/>
    <w:lvl w:ilvl="0" w:tentative="0">
      <w:start w:val="1"/>
      <w:numFmt w:val="chineseCounting"/>
      <w:suff w:val="nothing"/>
      <w:lvlText w:val="（%1）"/>
      <w:lvlJc w:val="left"/>
      <w:pPr>
        <w:ind w:left="0" w:firstLine="420"/>
      </w:pPr>
      <w:rPr>
        <w:rFonts w:hint="eastAsia"/>
      </w:rPr>
    </w:lvl>
  </w:abstractNum>
  <w:abstractNum w:abstractNumId="7">
    <w:nsid w:val="29C775EF"/>
    <w:multiLevelType w:val="multilevel"/>
    <w:tmpl w:val="29C775EF"/>
    <w:lvl w:ilvl="0" w:tentative="0">
      <w:start w:val="1"/>
      <w:numFmt w:val="bullet"/>
      <w:pStyle w:val="3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A11222"/>
    <w:multiLevelType w:val="singleLevel"/>
    <w:tmpl w:val="2EA11222"/>
    <w:lvl w:ilvl="0" w:tentative="0">
      <w:start w:val="1"/>
      <w:numFmt w:val="chineseCounting"/>
      <w:suff w:val="nothing"/>
      <w:lvlText w:val="（%1）"/>
      <w:lvlJc w:val="left"/>
      <w:pPr>
        <w:ind w:left="0" w:firstLine="420"/>
      </w:pPr>
      <w:rPr>
        <w:rFonts w:hint="eastAsia"/>
      </w:rPr>
    </w:lvl>
  </w:abstractNum>
  <w:abstractNum w:abstractNumId="9">
    <w:nsid w:val="376B4397"/>
    <w:multiLevelType w:val="singleLevel"/>
    <w:tmpl w:val="376B4397"/>
    <w:lvl w:ilvl="0" w:tentative="0">
      <w:start w:val="1"/>
      <w:numFmt w:val="chineseCounting"/>
      <w:suff w:val="nothing"/>
      <w:lvlText w:val="（%1）"/>
      <w:lvlJc w:val="left"/>
      <w:pPr>
        <w:ind w:left="0" w:firstLine="420"/>
      </w:pPr>
      <w:rPr>
        <w:rFonts w:hint="eastAsia"/>
      </w:rPr>
    </w:lvl>
  </w:abstractNum>
  <w:abstractNum w:abstractNumId="10">
    <w:nsid w:val="38A2FF7E"/>
    <w:multiLevelType w:val="singleLevel"/>
    <w:tmpl w:val="38A2FF7E"/>
    <w:lvl w:ilvl="0" w:tentative="0">
      <w:start w:val="1"/>
      <w:numFmt w:val="chineseCounting"/>
      <w:suff w:val="nothing"/>
      <w:lvlText w:val="（%1）"/>
      <w:lvlJc w:val="left"/>
      <w:rPr>
        <w:rFonts w:hint="eastAsia"/>
      </w:rPr>
    </w:lvl>
  </w:abstractNum>
  <w:abstractNum w:abstractNumId="11">
    <w:nsid w:val="72674AAF"/>
    <w:multiLevelType w:val="singleLevel"/>
    <w:tmpl w:val="72674AAF"/>
    <w:lvl w:ilvl="0" w:tentative="0">
      <w:start w:val="1"/>
      <w:numFmt w:val="chineseCounting"/>
      <w:suff w:val="nothing"/>
      <w:lvlText w:val="（%1）"/>
      <w:lvlJc w:val="left"/>
      <w:pPr>
        <w:ind w:left="0" w:firstLine="420"/>
      </w:pPr>
      <w:rPr>
        <w:rFonts w:hint="eastAsia"/>
      </w:rPr>
    </w:lvl>
  </w:abstractNum>
  <w:abstractNum w:abstractNumId="12">
    <w:nsid w:val="7A544927"/>
    <w:multiLevelType w:val="multilevel"/>
    <w:tmpl w:val="7A544927"/>
    <w:lvl w:ilvl="0" w:tentative="0">
      <w:start w:val="1"/>
      <w:numFmt w:val="decimal"/>
      <w:pStyle w:val="32"/>
      <w:suff w:val="space"/>
      <w:lvlText w:val="%1."/>
      <w:lvlJc w:val="left"/>
      <w:pPr>
        <w:ind w:left="3260" w:hanging="425"/>
      </w:pPr>
      <w:rPr>
        <w:rFonts w:hint="default" w:ascii="仿宋" w:hAnsi="仿宋" w:eastAsia="仿宋" w:cs="Arial"/>
      </w:rPr>
    </w:lvl>
    <w:lvl w:ilvl="1" w:tentative="0">
      <w:start w:val="1"/>
      <w:numFmt w:val="decimal"/>
      <w:suff w:val="space"/>
      <w:lvlText w:val="%1.%2."/>
      <w:lvlJc w:val="left"/>
      <w:pPr>
        <w:ind w:left="4536" w:hanging="567"/>
      </w:pPr>
      <w:rPr>
        <w:rFonts w:hint="eastAsia"/>
      </w:rPr>
    </w:lvl>
    <w:lvl w:ilvl="2" w:tentative="0">
      <w:start w:val="1"/>
      <w:numFmt w:val="decimal"/>
      <w:suff w:val="space"/>
      <w:lvlText w:val="%1.%2.%3."/>
      <w:lvlJc w:val="left"/>
      <w:pPr>
        <w:ind w:left="2977"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2"/>
  </w:num>
  <w:num w:numId="2">
    <w:abstractNumId w:val="7"/>
  </w:num>
  <w:num w:numId="3">
    <w:abstractNumId w:val="3"/>
  </w:num>
  <w:num w:numId="4">
    <w:abstractNumId w:val="4"/>
  </w:num>
  <w:num w:numId="5">
    <w:abstractNumId w:val="11"/>
  </w:num>
  <w:num w:numId="6">
    <w:abstractNumId w:val="8"/>
  </w:num>
  <w:num w:numId="7">
    <w:abstractNumId w:val="1"/>
  </w:num>
  <w:num w:numId="8">
    <w:abstractNumId w:val="5"/>
  </w:num>
  <w:num w:numId="9">
    <w:abstractNumId w:val="9"/>
  </w:num>
  <w:num w:numId="10">
    <w:abstractNumId w:val="6"/>
  </w:num>
  <w:num w:numId="11">
    <w:abstractNumId w:val="0"/>
  </w:num>
  <w:num w:numId="12">
    <w:abstractNumId w:val="1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度">
    <w15:presenceInfo w15:providerId="WPS Office" w15:userId="2085265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revisionView w:markup="0"/>
  <w:documentProtection w:enforcement="0"/>
  <w:defaultTabStop w:val="420"/>
  <w:drawingGridHorizontalSpacing w:val="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ZjBlYWNmNDMzZGJhMmQ1YmJiZTI2YTg5MGIwYTMifQ=="/>
  </w:docVars>
  <w:rsids>
    <w:rsidRoot w:val="00AB4F6F"/>
    <w:rsid w:val="00002D24"/>
    <w:rsid w:val="00014017"/>
    <w:rsid w:val="000158A1"/>
    <w:rsid w:val="00025E6F"/>
    <w:rsid w:val="0002617D"/>
    <w:rsid w:val="00027F1B"/>
    <w:rsid w:val="00036D08"/>
    <w:rsid w:val="000517A1"/>
    <w:rsid w:val="00055C99"/>
    <w:rsid w:val="000572CB"/>
    <w:rsid w:val="0006513F"/>
    <w:rsid w:val="00073BBD"/>
    <w:rsid w:val="0007763C"/>
    <w:rsid w:val="00080766"/>
    <w:rsid w:val="000828D3"/>
    <w:rsid w:val="000865FC"/>
    <w:rsid w:val="0009273D"/>
    <w:rsid w:val="000A5DFC"/>
    <w:rsid w:val="000B396A"/>
    <w:rsid w:val="000C20EC"/>
    <w:rsid w:val="000C30ED"/>
    <w:rsid w:val="000C5A89"/>
    <w:rsid w:val="000D0A01"/>
    <w:rsid w:val="000D31C7"/>
    <w:rsid w:val="000E034D"/>
    <w:rsid w:val="000E225A"/>
    <w:rsid w:val="000E7142"/>
    <w:rsid w:val="000F07CC"/>
    <w:rsid w:val="000F65D1"/>
    <w:rsid w:val="00102BB9"/>
    <w:rsid w:val="001039B2"/>
    <w:rsid w:val="00106069"/>
    <w:rsid w:val="00111D26"/>
    <w:rsid w:val="001158D0"/>
    <w:rsid w:val="00121EDC"/>
    <w:rsid w:val="00124701"/>
    <w:rsid w:val="00126B0B"/>
    <w:rsid w:val="001272D4"/>
    <w:rsid w:val="00131922"/>
    <w:rsid w:val="00132486"/>
    <w:rsid w:val="0013369C"/>
    <w:rsid w:val="00146081"/>
    <w:rsid w:val="00150640"/>
    <w:rsid w:val="00150B47"/>
    <w:rsid w:val="001536A9"/>
    <w:rsid w:val="00155657"/>
    <w:rsid w:val="00156E6A"/>
    <w:rsid w:val="001670C5"/>
    <w:rsid w:val="00171ED9"/>
    <w:rsid w:val="00173F4A"/>
    <w:rsid w:val="00174CB5"/>
    <w:rsid w:val="00174E3D"/>
    <w:rsid w:val="00182D82"/>
    <w:rsid w:val="0019010F"/>
    <w:rsid w:val="001902E9"/>
    <w:rsid w:val="00194C93"/>
    <w:rsid w:val="00194F76"/>
    <w:rsid w:val="0019779B"/>
    <w:rsid w:val="001A2CC8"/>
    <w:rsid w:val="001A3192"/>
    <w:rsid w:val="001A76B8"/>
    <w:rsid w:val="001B641B"/>
    <w:rsid w:val="001C390D"/>
    <w:rsid w:val="00200F12"/>
    <w:rsid w:val="00203AE5"/>
    <w:rsid w:val="00207572"/>
    <w:rsid w:val="0021084B"/>
    <w:rsid w:val="00223E29"/>
    <w:rsid w:val="002264FF"/>
    <w:rsid w:val="00227486"/>
    <w:rsid w:val="00230887"/>
    <w:rsid w:val="002334E4"/>
    <w:rsid w:val="0024624D"/>
    <w:rsid w:val="002579C4"/>
    <w:rsid w:val="002642B5"/>
    <w:rsid w:val="00271055"/>
    <w:rsid w:val="00273F8B"/>
    <w:rsid w:val="00276DE8"/>
    <w:rsid w:val="0027771C"/>
    <w:rsid w:val="002819B4"/>
    <w:rsid w:val="00283B34"/>
    <w:rsid w:val="00285507"/>
    <w:rsid w:val="00292005"/>
    <w:rsid w:val="002966B7"/>
    <w:rsid w:val="00297D8D"/>
    <w:rsid w:val="002A4CCB"/>
    <w:rsid w:val="002A6FA5"/>
    <w:rsid w:val="002C19A6"/>
    <w:rsid w:val="002C20A3"/>
    <w:rsid w:val="002D1CB0"/>
    <w:rsid w:val="002D637A"/>
    <w:rsid w:val="002D6485"/>
    <w:rsid w:val="002D6E62"/>
    <w:rsid w:val="002E1C82"/>
    <w:rsid w:val="002E215C"/>
    <w:rsid w:val="002E5A4F"/>
    <w:rsid w:val="002E6759"/>
    <w:rsid w:val="002F53CE"/>
    <w:rsid w:val="00312492"/>
    <w:rsid w:val="00316B11"/>
    <w:rsid w:val="00334388"/>
    <w:rsid w:val="0034576D"/>
    <w:rsid w:val="003474E8"/>
    <w:rsid w:val="0035406E"/>
    <w:rsid w:val="003608EA"/>
    <w:rsid w:val="00373554"/>
    <w:rsid w:val="0037359E"/>
    <w:rsid w:val="0039500F"/>
    <w:rsid w:val="003A3CEB"/>
    <w:rsid w:val="003A61ED"/>
    <w:rsid w:val="003B2774"/>
    <w:rsid w:val="003B4251"/>
    <w:rsid w:val="003B7130"/>
    <w:rsid w:val="003C2CF0"/>
    <w:rsid w:val="003D21E5"/>
    <w:rsid w:val="003D50DE"/>
    <w:rsid w:val="003D7724"/>
    <w:rsid w:val="003E0D31"/>
    <w:rsid w:val="003F0C1E"/>
    <w:rsid w:val="003F0D73"/>
    <w:rsid w:val="003F2DAF"/>
    <w:rsid w:val="00400D61"/>
    <w:rsid w:val="0040164F"/>
    <w:rsid w:val="00403B94"/>
    <w:rsid w:val="004051CD"/>
    <w:rsid w:val="00410346"/>
    <w:rsid w:val="00411B08"/>
    <w:rsid w:val="004132E8"/>
    <w:rsid w:val="00414898"/>
    <w:rsid w:val="00414966"/>
    <w:rsid w:val="0041511C"/>
    <w:rsid w:val="00420639"/>
    <w:rsid w:val="00430595"/>
    <w:rsid w:val="00432A81"/>
    <w:rsid w:val="0043339A"/>
    <w:rsid w:val="00441F58"/>
    <w:rsid w:val="00443DD2"/>
    <w:rsid w:val="00465E2E"/>
    <w:rsid w:val="004774F6"/>
    <w:rsid w:val="00477D31"/>
    <w:rsid w:val="00480A69"/>
    <w:rsid w:val="0048110C"/>
    <w:rsid w:val="00481398"/>
    <w:rsid w:val="00490850"/>
    <w:rsid w:val="004B05CB"/>
    <w:rsid w:val="004B164D"/>
    <w:rsid w:val="004B2823"/>
    <w:rsid w:val="004C7633"/>
    <w:rsid w:val="004D0330"/>
    <w:rsid w:val="004D2245"/>
    <w:rsid w:val="004D5617"/>
    <w:rsid w:val="004E737D"/>
    <w:rsid w:val="004F5C9A"/>
    <w:rsid w:val="00514739"/>
    <w:rsid w:val="0052256C"/>
    <w:rsid w:val="0052273C"/>
    <w:rsid w:val="00523BE1"/>
    <w:rsid w:val="00524901"/>
    <w:rsid w:val="00534690"/>
    <w:rsid w:val="0053591A"/>
    <w:rsid w:val="005443F4"/>
    <w:rsid w:val="005477FA"/>
    <w:rsid w:val="00551AD3"/>
    <w:rsid w:val="00553990"/>
    <w:rsid w:val="005622EF"/>
    <w:rsid w:val="005742F6"/>
    <w:rsid w:val="0057559E"/>
    <w:rsid w:val="00581CA8"/>
    <w:rsid w:val="005859B8"/>
    <w:rsid w:val="00587941"/>
    <w:rsid w:val="00593873"/>
    <w:rsid w:val="005A19B3"/>
    <w:rsid w:val="005A3B65"/>
    <w:rsid w:val="005B1297"/>
    <w:rsid w:val="005B6281"/>
    <w:rsid w:val="005B6E0B"/>
    <w:rsid w:val="005C45EB"/>
    <w:rsid w:val="005C5156"/>
    <w:rsid w:val="005E2C8B"/>
    <w:rsid w:val="005E2D69"/>
    <w:rsid w:val="0060495B"/>
    <w:rsid w:val="0061158D"/>
    <w:rsid w:val="00613B00"/>
    <w:rsid w:val="006150A9"/>
    <w:rsid w:val="00624D7D"/>
    <w:rsid w:val="00635971"/>
    <w:rsid w:val="006360C2"/>
    <w:rsid w:val="00637C45"/>
    <w:rsid w:val="0064245D"/>
    <w:rsid w:val="00642B11"/>
    <w:rsid w:val="0065694C"/>
    <w:rsid w:val="00666FED"/>
    <w:rsid w:val="006701EC"/>
    <w:rsid w:val="00670C5C"/>
    <w:rsid w:val="00673C38"/>
    <w:rsid w:val="00681E6B"/>
    <w:rsid w:val="0069289E"/>
    <w:rsid w:val="00692ABB"/>
    <w:rsid w:val="00697B8A"/>
    <w:rsid w:val="006B13B4"/>
    <w:rsid w:val="006B5C12"/>
    <w:rsid w:val="006C18C2"/>
    <w:rsid w:val="006C5A65"/>
    <w:rsid w:val="006D5261"/>
    <w:rsid w:val="006E09CE"/>
    <w:rsid w:val="006E4728"/>
    <w:rsid w:val="006F5937"/>
    <w:rsid w:val="006F673C"/>
    <w:rsid w:val="006F6F73"/>
    <w:rsid w:val="00700362"/>
    <w:rsid w:val="00707A2A"/>
    <w:rsid w:val="0071530E"/>
    <w:rsid w:val="00725A19"/>
    <w:rsid w:val="00731796"/>
    <w:rsid w:val="00732E6A"/>
    <w:rsid w:val="00736CC9"/>
    <w:rsid w:val="00740D7D"/>
    <w:rsid w:val="00747923"/>
    <w:rsid w:val="00753551"/>
    <w:rsid w:val="00781FD2"/>
    <w:rsid w:val="00784FD4"/>
    <w:rsid w:val="0079009D"/>
    <w:rsid w:val="00797CB1"/>
    <w:rsid w:val="007A66A6"/>
    <w:rsid w:val="007C0B85"/>
    <w:rsid w:val="007D4FBB"/>
    <w:rsid w:val="007D7584"/>
    <w:rsid w:val="007E261B"/>
    <w:rsid w:val="007E27AA"/>
    <w:rsid w:val="007E3CB4"/>
    <w:rsid w:val="007E4CFE"/>
    <w:rsid w:val="007E5B2E"/>
    <w:rsid w:val="007F1490"/>
    <w:rsid w:val="00806069"/>
    <w:rsid w:val="00807033"/>
    <w:rsid w:val="0081045D"/>
    <w:rsid w:val="00815F48"/>
    <w:rsid w:val="008166A6"/>
    <w:rsid w:val="00835485"/>
    <w:rsid w:val="00835AEF"/>
    <w:rsid w:val="0083709E"/>
    <w:rsid w:val="008376F5"/>
    <w:rsid w:val="008614E8"/>
    <w:rsid w:val="00867A8B"/>
    <w:rsid w:val="0087400E"/>
    <w:rsid w:val="008804ED"/>
    <w:rsid w:val="008901FF"/>
    <w:rsid w:val="00892495"/>
    <w:rsid w:val="00893B10"/>
    <w:rsid w:val="00896601"/>
    <w:rsid w:val="008A0015"/>
    <w:rsid w:val="008B347E"/>
    <w:rsid w:val="008C189B"/>
    <w:rsid w:val="008C2FE9"/>
    <w:rsid w:val="008C3A35"/>
    <w:rsid w:val="008D190E"/>
    <w:rsid w:val="008D34E9"/>
    <w:rsid w:val="008D419F"/>
    <w:rsid w:val="008D6E77"/>
    <w:rsid w:val="008E4929"/>
    <w:rsid w:val="00904273"/>
    <w:rsid w:val="0091046A"/>
    <w:rsid w:val="00911716"/>
    <w:rsid w:val="00914663"/>
    <w:rsid w:val="00922CD6"/>
    <w:rsid w:val="00926FA4"/>
    <w:rsid w:val="00931D9B"/>
    <w:rsid w:val="00931E88"/>
    <w:rsid w:val="00936AE2"/>
    <w:rsid w:val="00936EF0"/>
    <w:rsid w:val="00936F35"/>
    <w:rsid w:val="00937307"/>
    <w:rsid w:val="009422AB"/>
    <w:rsid w:val="009478F4"/>
    <w:rsid w:val="009500AD"/>
    <w:rsid w:val="00950DF1"/>
    <w:rsid w:val="00963965"/>
    <w:rsid w:val="0096581E"/>
    <w:rsid w:val="00970BD4"/>
    <w:rsid w:val="009761E4"/>
    <w:rsid w:val="009964A1"/>
    <w:rsid w:val="009A00F7"/>
    <w:rsid w:val="009B00CB"/>
    <w:rsid w:val="009B5C5C"/>
    <w:rsid w:val="009C6C46"/>
    <w:rsid w:val="009D74F6"/>
    <w:rsid w:val="009F4981"/>
    <w:rsid w:val="009F5FF5"/>
    <w:rsid w:val="00A01011"/>
    <w:rsid w:val="00A02F90"/>
    <w:rsid w:val="00A05AB1"/>
    <w:rsid w:val="00A06FDD"/>
    <w:rsid w:val="00A16BC9"/>
    <w:rsid w:val="00A17CB5"/>
    <w:rsid w:val="00A33EEC"/>
    <w:rsid w:val="00A65213"/>
    <w:rsid w:val="00A65A42"/>
    <w:rsid w:val="00A71F8C"/>
    <w:rsid w:val="00A7749F"/>
    <w:rsid w:val="00A77F2D"/>
    <w:rsid w:val="00A849E9"/>
    <w:rsid w:val="00A92DD4"/>
    <w:rsid w:val="00AB4F6F"/>
    <w:rsid w:val="00AB62A1"/>
    <w:rsid w:val="00AB7C90"/>
    <w:rsid w:val="00AC207D"/>
    <w:rsid w:val="00AC3ACD"/>
    <w:rsid w:val="00AC6034"/>
    <w:rsid w:val="00AC7CAD"/>
    <w:rsid w:val="00AD6D98"/>
    <w:rsid w:val="00AE0128"/>
    <w:rsid w:val="00AE38FC"/>
    <w:rsid w:val="00AE67B5"/>
    <w:rsid w:val="00AF6DA8"/>
    <w:rsid w:val="00AF73D6"/>
    <w:rsid w:val="00AF7A00"/>
    <w:rsid w:val="00B0225B"/>
    <w:rsid w:val="00B0264E"/>
    <w:rsid w:val="00B121CE"/>
    <w:rsid w:val="00B13759"/>
    <w:rsid w:val="00B22DA3"/>
    <w:rsid w:val="00B24303"/>
    <w:rsid w:val="00B267F5"/>
    <w:rsid w:val="00B26DDF"/>
    <w:rsid w:val="00B31B7D"/>
    <w:rsid w:val="00B4234C"/>
    <w:rsid w:val="00B46797"/>
    <w:rsid w:val="00B502E6"/>
    <w:rsid w:val="00B52522"/>
    <w:rsid w:val="00B53767"/>
    <w:rsid w:val="00B80C58"/>
    <w:rsid w:val="00B82D0F"/>
    <w:rsid w:val="00B85DC2"/>
    <w:rsid w:val="00B92BD8"/>
    <w:rsid w:val="00BA661A"/>
    <w:rsid w:val="00BC232A"/>
    <w:rsid w:val="00BC4177"/>
    <w:rsid w:val="00BD0259"/>
    <w:rsid w:val="00BD290F"/>
    <w:rsid w:val="00BD3A59"/>
    <w:rsid w:val="00BD6972"/>
    <w:rsid w:val="00BD738D"/>
    <w:rsid w:val="00BE3E13"/>
    <w:rsid w:val="00BF3AF8"/>
    <w:rsid w:val="00BF4442"/>
    <w:rsid w:val="00C07821"/>
    <w:rsid w:val="00C16071"/>
    <w:rsid w:val="00C235BE"/>
    <w:rsid w:val="00C25A0A"/>
    <w:rsid w:val="00C32AB1"/>
    <w:rsid w:val="00C332A2"/>
    <w:rsid w:val="00C42111"/>
    <w:rsid w:val="00C500FE"/>
    <w:rsid w:val="00C53893"/>
    <w:rsid w:val="00C542E2"/>
    <w:rsid w:val="00C66D0A"/>
    <w:rsid w:val="00C77DEC"/>
    <w:rsid w:val="00CA2970"/>
    <w:rsid w:val="00CA4337"/>
    <w:rsid w:val="00CB6B45"/>
    <w:rsid w:val="00CB73ED"/>
    <w:rsid w:val="00CB7B1D"/>
    <w:rsid w:val="00CC6206"/>
    <w:rsid w:val="00CC6F1D"/>
    <w:rsid w:val="00CD5E53"/>
    <w:rsid w:val="00CD68B9"/>
    <w:rsid w:val="00CF6FDF"/>
    <w:rsid w:val="00CF728F"/>
    <w:rsid w:val="00D03C55"/>
    <w:rsid w:val="00D047B6"/>
    <w:rsid w:val="00D06582"/>
    <w:rsid w:val="00D07075"/>
    <w:rsid w:val="00D1216C"/>
    <w:rsid w:val="00D2364A"/>
    <w:rsid w:val="00D303D9"/>
    <w:rsid w:val="00D32C35"/>
    <w:rsid w:val="00D36DC0"/>
    <w:rsid w:val="00D4008D"/>
    <w:rsid w:val="00D40EEF"/>
    <w:rsid w:val="00D51478"/>
    <w:rsid w:val="00D55BCE"/>
    <w:rsid w:val="00D571A2"/>
    <w:rsid w:val="00D60555"/>
    <w:rsid w:val="00D62CDD"/>
    <w:rsid w:val="00D70676"/>
    <w:rsid w:val="00D70D2A"/>
    <w:rsid w:val="00D75B2E"/>
    <w:rsid w:val="00D76EC9"/>
    <w:rsid w:val="00D84910"/>
    <w:rsid w:val="00D8517F"/>
    <w:rsid w:val="00D85255"/>
    <w:rsid w:val="00D8686F"/>
    <w:rsid w:val="00D872E8"/>
    <w:rsid w:val="00D9143D"/>
    <w:rsid w:val="00D923C4"/>
    <w:rsid w:val="00DA10C6"/>
    <w:rsid w:val="00DA28BE"/>
    <w:rsid w:val="00DB5C3D"/>
    <w:rsid w:val="00DC2EF0"/>
    <w:rsid w:val="00DC4514"/>
    <w:rsid w:val="00DC7DF5"/>
    <w:rsid w:val="00DE332F"/>
    <w:rsid w:val="00DE3B6B"/>
    <w:rsid w:val="00DF1FFC"/>
    <w:rsid w:val="00E03393"/>
    <w:rsid w:val="00E0540F"/>
    <w:rsid w:val="00E05B07"/>
    <w:rsid w:val="00E13124"/>
    <w:rsid w:val="00E23896"/>
    <w:rsid w:val="00E23D48"/>
    <w:rsid w:val="00E2430F"/>
    <w:rsid w:val="00E30676"/>
    <w:rsid w:val="00E322E8"/>
    <w:rsid w:val="00E4038E"/>
    <w:rsid w:val="00E43D07"/>
    <w:rsid w:val="00E44E2C"/>
    <w:rsid w:val="00E471F9"/>
    <w:rsid w:val="00E5230B"/>
    <w:rsid w:val="00E537E4"/>
    <w:rsid w:val="00E54D00"/>
    <w:rsid w:val="00E5515E"/>
    <w:rsid w:val="00E61647"/>
    <w:rsid w:val="00E6612D"/>
    <w:rsid w:val="00E679EC"/>
    <w:rsid w:val="00E70D30"/>
    <w:rsid w:val="00E71795"/>
    <w:rsid w:val="00E76ED2"/>
    <w:rsid w:val="00E82E48"/>
    <w:rsid w:val="00E901A2"/>
    <w:rsid w:val="00E93666"/>
    <w:rsid w:val="00ED17D2"/>
    <w:rsid w:val="00ED1E8B"/>
    <w:rsid w:val="00ED3451"/>
    <w:rsid w:val="00EE023B"/>
    <w:rsid w:val="00EE3A9D"/>
    <w:rsid w:val="00EE74CD"/>
    <w:rsid w:val="00F01898"/>
    <w:rsid w:val="00F0583E"/>
    <w:rsid w:val="00F05EC1"/>
    <w:rsid w:val="00F15124"/>
    <w:rsid w:val="00F22CBA"/>
    <w:rsid w:val="00F30FCA"/>
    <w:rsid w:val="00F3313C"/>
    <w:rsid w:val="00F43E14"/>
    <w:rsid w:val="00F522A2"/>
    <w:rsid w:val="00F6012A"/>
    <w:rsid w:val="00F60BB5"/>
    <w:rsid w:val="00F76CFF"/>
    <w:rsid w:val="00F81E9D"/>
    <w:rsid w:val="00F84567"/>
    <w:rsid w:val="00F95DAC"/>
    <w:rsid w:val="00FA5CCF"/>
    <w:rsid w:val="00FC16D6"/>
    <w:rsid w:val="00FC175F"/>
    <w:rsid w:val="00FD1D7C"/>
    <w:rsid w:val="00FE0C79"/>
    <w:rsid w:val="00FE4080"/>
    <w:rsid w:val="00FE541D"/>
    <w:rsid w:val="00FE66BF"/>
    <w:rsid w:val="00FE7B97"/>
    <w:rsid w:val="00FF04F4"/>
    <w:rsid w:val="0102529E"/>
    <w:rsid w:val="012D376B"/>
    <w:rsid w:val="013C7A7E"/>
    <w:rsid w:val="016311E8"/>
    <w:rsid w:val="02327584"/>
    <w:rsid w:val="027A5473"/>
    <w:rsid w:val="02933E8A"/>
    <w:rsid w:val="02D4647E"/>
    <w:rsid w:val="02DE6295"/>
    <w:rsid w:val="02F001C9"/>
    <w:rsid w:val="03111858"/>
    <w:rsid w:val="034A5EE0"/>
    <w:rsid w:val="03783963"/>
    <w:rsid w:val="0397296F"/>
    <w:rsid w:val="03E56DE9"/>
    <w:rsid w:val="03EE35A7"/>
    <w:rsid w:val="03F223C5"/>
    <w:rsid w:val="03F5166C"/>
    <w:rsid w:val="04836C78"/>
    <w:rsid w:val="04C64137"/>
    <w:rsid w:val="04E050DE"/>
    <w:rsid w:val="05290403"/>
    <w:rsid w:val="05451EB3"/>
    <w:rsid w:val="05551F76"/>
    <w:rsid w:val="055E6E53"/>
    <w:rsid w:val="058836CC"/>
    <w:rsid w:val="05903AE5"/>
    <w:rsid w:val="05B77F83"/>
    <w:rsid w:val="05BE7900"/>
    <w:rsid w:val="05FE2249"/>
    <w:rsid w:val="066F181A"/>
    <w:rsid w:val="06C10AB8"/>
    <w:rsid w:val="06C7027C"/>
    <w:rsid w:val="07052D9F"/>
    <w:rsid w:val="078521E1"/>
    <w:rsid w:val="078B65C9"/>
    <w:rsid w:val="07CC2DB0"/>
    <w:rsid w:val="07F35461"/>
    <w:rsid w:val="081D74C7"/>
    <w:rsid w:val="085F5280"/>
    <w:rsid w:val="08702B51"/>
    <w:rsid w:val="08727769"/>
    <w:rsid w:val="0889774E"/>
    <w:rsid w:val="08D80E30"/>
    <w:rsid w:val="09252A83"/>
    <w:rsid w:val="09267C87"/>
    <w:rsid w:val="09282CA7"/>
    <w:rsid w:val="09B213D1"/>
    <w:rsid w:val="09B33EC1"/>
    <w:rsid w:val="09C765B9"/>
    <w:rsid w:val="09EB64BC"/>
    <w:rsid w:val="0A071939"/>
    <w:rsid w:val="0A365CAA"/>
    <w:rsid w:val="0A6961D7"/>
    <w:rsid w:val="0A7377A0"/>
    <w:rsid w:val="0A8E01DA"/>
    <w:rsid w:val="0A8F344D"/>
    <w:rsid w:val="0AD17504"/>
    <w:rsid w:val="0AF56689"/>
    <w:rsid w:val="0B02484A"/>
    <w:rsid w:val="0B140AFB"/>
    <w:rsid w:val="0B1F7271"/>
    <w:rsid w:val="0B295BBB"/>
    <w:rsid w:val="0B6D4219"/>
    <w:rsid w:val="0BC96BA8"/>
    <w:rsid w:val="0BD55CD2"/>
    <w:rsid w:val="0C14267E"/>
    <w:rsid w:val="0C243290"/>
    <w:rsid w:val="0C2E07CC"/>
    <w:rsid w:val="0C695B8F"/>
    <w:rsid w:val="0C736DE6"/>
    <w:rsid w:val="0CDE60BC"/>
    <w:rsid w:val="0D07443D"/>
    <w:rsid w:val="0DBE1459"/>
    <w:rsid w:val="0E5E41B4"/>
    <w:rsid w:val="0E7E3366"/>
    <w:rsid w:val="0E9D15F1"/>
    <w:rsid w:val="0EEA4C87"/>
    <w:rsid w:val="0F4579EE"/>
    <w:rsid w:val="0F864509"/>
    <w:rsid w:val="0FF02470"/>
    <w:rsid w:val="10090E5D"/>
    <w:rsid w:val="10185BF4"/>
    <w:rsid w:val="1068556D"/>
    <w:rsid w:val="107B44A7"/>
    <w:rsid w:val="10850B15"/>
    <w:rsid w:val="10AB70DF"/>
    <w:rsid w:val="10B935FB"/>
    <w:rsid w:val="10E16942"/>
    <w:rsid w:val="10ED1A4F"/>
    <w:rsid w:val="11053860"/>
    <w:rsid w:val="11280D17"/>
    <w:rsid w:val="112B17A8"/>
    <w:rsid w:val="116F488B"/>
    <w:rsid w:val="11A056A0"/>
    <w:rsid w:val="11C0771E"/>
    <w:rsid w:val="12157E3C"/>
    <w:rsid w:val="121A36E3"/>
    <w:rsid w:val="121E28A7"/>
    <w:rsid w:val="122364B4"/>
    <w:rsid w:val="12251B79"/>
    <w:rsid w:val="1257553F"/>
    <w:rsid w:val="126532CD"/>
    <w:rsid w:val="128E2780"/>
    <w:rsid w:val="12B64385"/>
    <w:rsid w:val="12C45177"/>
    <w:rsid w:val="12D16837"/>
    <w:rsid w:val="1305725A"/>
    <w:rsid w:val="136E0C9E"/>
    <w:rsid w:val="137077D1"/>
    <w:rsid w:val="137C0651"/>
    <w:rsid w:val="13D16031"/>
    <w:rsid w:val="13DE5039"/>
    <w:rsid w:val="13E27258"/>
    <w:rsid w:val="13F66D24"/>
    <w:rsid w:val="141A0B79"/>
    <w:rsid w:val="14215502"/>
    <w:rsid w:val="142F229D"/>
    <w:rsid w:val="143973D1"/>
    <w:rsid w:val="143B465F"/>
    <w:rsid w:val="145063CC"/>
    <w:rsid w:val="14783441"/>
    <w:rsid w:val="149B5F21"/>
    <w:rsid w:val="14A52AEC"/>
    <w:rsid w:val="14B2588F"/>
    <w:rsid w:val="14B85352"/>
    <w:rsid w:val="15151268"/>
    <w:rsid w:val="151E0B36"/>
    <w:rsid w:val="152707D6"/>
    <w:rsid w:val="15440E0F"/>
    <w:rsid w:val="1575161E"/>
    <w:rsid w:val="15947CE6"/>
    <w:rsid w:val="15B35F63"/>
    <w:rsid w:val="15D33A99"/>
    <w:rsid w:val="15F73B91"/>
    <w:rsid w:val="16294ED8"/>
    <w:rsid w:val="164D2434"/>
    <w:rsid w:val="16884070"/>
    <w:rsid w:val="16885287"/>
    <w:rsid w:val="16971F0A"/>
    <w:rsid w:val="16EB7053"/>
    <w:rsid w:val="16EF6346"/>
    <w:rsid w:val="175204AD"/>
    <w:rsid w:val="176C1E36"/>
    <w:rsid w:val="17A87807"/>
    <w:rsid w:val="17D44C34"/>
    <w:rsid w:val="1817452F"/>
    <w:rsid w:val="181D4792"/>
    <w:rsid w:val="181E3EC5"/>
    <w:rsid w:val="183D685A"/>
    <w:rsid w:val="18492201"/>
    <w:rsid w:val="18593D4E"/>
    <w:rsid w:val="185F6470"/>
    <w:rsid w:val="18614E41"/>
    <w:rsid w:val="18803299"/>
    <w:rsid w:val="18A27218"/>
    <w:rsid w:val="18E60166"/>
    <w:rsid w:val="18ED4CD1"/>
    <w:rsid w:val="19234CA9"/>
    <w:rsid w:val="19317BC8"/>
    <w:rsid w:val="193A01E9"/>
    <w:rsid w:val="19441BC4"/>
    <w:rsid w:val="19555F2B"/>
    <w:rsid w:val="195F2003"/>
    <w:rsid w:val="19915C67"/>
    <w:rsid w:val="19CB4AA9"/>
    <w:rsid w:val="19EE45A2"/>
    <w:rsid w:val="19F547B0"/>
    <w:rsid w:val="1A186794"/>
    <w:rsid w:val="1A9B76F6"/>
    <w:rsid w:val="1B0C4A93"/>
    <w:rsid w:val="1B236938"/>
    <w:rsid w:val="1B683C8C"/>
    <w:rsid w:val="1B906328"/>
    <w:rsid w:val="1BA05E84"/>
    <w:rsid w:val="1C003837"/>
    <w:rsid w:val="1CC04F01"/>
    <w:rsid w:val="1CFC17B2"/>
    <w:rsid w:val="1D3249F5"/>
    <w:rsid w:val="1D605A95"/>
    <w:rsid w:val="1D9969E1"/>
    <w:rsid w:val="1D9F4EB0"/>
    <w:rsid w:val="1DA63359"/>
    <w:rsid w:val="1DB77BDE"/>
    <w:rsid w:val="1E4A2A5A"/>
    <w:rsid w:val="1ED765D3"/>
    <w:rsid w:val="1EDC0F9C"/>
    <w:rsid w:val="1EFB6300"/>
    <w:rsid w:val="1F122D30"/>
    <w:rsid w:val="1F1F1461"/>
    <w:rsid w:val="1F226A9A"/>
    <w:rsid w:val="1F4E3162"/>
    <w:rsid w:val="1F9E1E18"/>
    <w:rsid w:val="1FDC3261"/>
    <w:rsid w:val="20170F60"/>
    <w:rsid w:val="202B7814"/>
    <w:rsid w:val="204161C7"/>
    <w:rsid w:val="204F0959"/>
    <w:rsid w:val="20767CEE"/>
    <w:rsid w:val="21611232"/>
    <w:rsid w:val="216F02EC"/>
    <w:rsid w:val="21851570"/>
    <w:rsid w:val="21BA2D3C"/>
    <w:rsid w:val="220A1531"/>
    <w:rsid w:val="222D2662"/>
    <w:rsid w:val="22346210"/>
    <w:rsid w:val="22421FE7"/>
    <w:rsid w:val="22575249"/>
    <w:rsid w:val="22872C32"/>
    <w:rsid w:val="22A0211B"/>
    <w:rsid w:val="22FF45ED"/>
    <w:rsid w:val="23401564"/>
    <w:rsid w:val="23522376"/>
    <w:rsid w:val="236B4993"/>
    <w:rsid w:val="23746379"/>
    <w:rsid w:val="24360BDC"/>
    <w:rsid w:val="249E0AA2"/>
    <w:rsid w:val="24CD3FE9"/>
    <w:rsid w:val="24E6449D"/>
    <w:rsid w:val="25077BCF"/>
    <w:rsid w:val="250E11C2"/>
    <w:rsid w:val="252B2F40"/>
    <w:rsid w:val="25476EB0"/>
    <w:rsid w:val="25D26496"/>
    <w:rsid w:val="26362D2F"/>
    <w:rsid w:val="2644353D"/>
    <w:rsid w:val="2644374E"/>
    <w:rsid w:val="2648244A"/>
    <w:rsid w:val="26BA4BE4"/>
    <w:rsid w:val="26C41B54"/>
    <w:rsid w:val="26CC23F8"/>
    <w:rsid w:val="26EA1FF6"/>
    <w:rsid w:val="273D70D5"/>
    <w:rsid w:val="27A51F04"/>
    <w:rsid w:val="27D745E5"/>
    <w:rsid w:val="28240EC6"/>
    <w:rsid w:val="28622A1B"/>
    <w:rsid w:val="28CE2FC6"/>
    <w:rsid w:val="28DA6AA9"/>
    <w:rsid w:val="28EE551A"/>
    <w:rsid w:val="29585C4A"/>
    <w:rsid w:val="297665B1"/>
    <w:rsid w:val="29932180"/>
    <w:rsid w:val="299418BB"/>
    <w:rsid w:val="29981F4C"/>
    <w:rsid w:val="299A0F1A"/>
    <w:rsid w:val="29F4719C"/>
    <w:rsid w:val="2A4307D5"/>
    <w:rsid w:val="2A8C370D"/>
    <w:rsid w:val="2A8D56BA"/>
    <w:rsid w:val="2AC116FA"/>
    <w:rsid w:val="2ACE5197"/>
    <w:rsid w:val="2ADF4DB5"/>
    <w:rsid w:val="2B2B724A"/>
    <w:rsid w:val="2B5272A1"/>
    <w:rsid w:val="2B8F1685"/>
    <w:rsid w:val="2BC65580"/>
    <w:rsid w:val="2BD9662F"/>
    <w:rsid w:val="2BDB4E86"/>
    <w:rsid w:val="2BE523B3"/>
    <w:rsid w:val="2C0B5412"/>
    <w:rsid w:val="2C536E3C"/>
    <w:rsid w:val="2C5D10E9"/>
    <w:rsid w:val="2CA24911"/>
    <w:rsid w:val="2CA9783B"/>
    <w:rsid w:val="2D5875A4"/>
    <w:rsid w:val="2D697E26"/>
    <w:rsid w:val="2D74294F"/>
    <w:rsid w:val="2D7D508B"/>
    <w:rsid w:val="2DAF00B6"/>
    <w:rsid w:val="2DBC0C79"/>
    <w:rsid w:val="2DE33AEA"/>
    <w:rsid w:val="2DF80259"/>
    <w:rsid w:val="2E202707"/>
    <w:rsid w:val="2E2051EB"/>
    <w:rsid w:val="2E3A0BA3"/>
    <w:rsid w:val="2E71179A"/>
    <w:rsid w:val="2E8D37E9"/>
    <w:rsid w:val="2EA67F53"/>
    <w:rsid w:val="2EC54FED"/>
    <w:rsid w:val="2ED4797B"/>
    <w:rsid w:val="2EF82EC7"/>
    <w:rsid w:val="2FB045E1"/>
    <w:rsid w:val="2FC26F5F"/>
    <w:rsid w:val="2FC7070E"/>
    <w:rsid w:val="2FF82EF5"/>
    <w:rsid w:val="2FFC7DAD"/>
    <w:rsid w:val="301D4126"/>
    <w:rsid w:val="30401C4A"/>
    <w:rsid w:val="309C1A0D"/>
    <w:rsid w:val="30D46628"/>
    <w:rsid w:val="313027E0"/>
    <w:rsid w:val="31486B7C"/>
    <w:rsid w:val="31973BF6"/>
    <w:rsid w:val="31FA4449"/>
    <w:rsid w:val="31FA5DAE"/>
    <w:rsid w:val="320E58B0"/>
    <w:rsid w:val="327067D0"/>
    <w:rsid w:val="32901D81"/>
    <w:rsid w:val="32C2358C"/>
    <w:rsid w:val="32C367C7"/>
    <w:rsid w:val="32F37A9D"/>
    <w:rsid w:val="33081A5F"/>
    <w:rsid w:val="331E3CF3"/>
    <w:rsid w:val="335E2782"/>
    <w:rsid w:val="336B5826"/>
    <w:rsid w:val="336F5D72"/>
    <w:rsid w:val="337169E7"/>
    <w:rsid w:val="337F1A8A"/>
    <w:rsid w:val="339E3347"/>
    <w:rsid w:val="33AA128C"/>
    <w:rsid w:val="33B17B39"/>
    <w:rsid w:val="347E6529"/>
    <w:rsid w:val="34A7560F"/>
    <w:rsid w:val="34E362A2"/>
    <w:rsid w:val="34F56DD3"/>
    <w:rsid w:val="34FBBF0F"/>
    <w:rsid w:val="355F3CBF"/>
    <w:rsid w:val="356A736D"/>
    <w:rsid w:val="357D4F46"/>
    <w:rsid w:val="357D6066"/>
    <w:rsid w:val="358808A9"/>
    <w:rsid w:val="358B35C0"/>
    <w:rsid w:val="358C5964"/>
    <w:rsid w:val="360839EB"/>
    <w:rsid w:val="36360F92"/>
    <w:rsid w:val="364D356D"/>
    <w:rsid w:val="36A60CD7"/>
    <w:rsid w:val="36C60B08"/>
    <w:rsid w:val="36D0242D"/>
    <w:rsid w:val="371127E4"/>
    <w:rsid w:val="3714535C"/>
    <w:rsid w:val="371A5569"/>
    <w:rsid w:val="37600A47"/>
    <w:rsid w:val="3795719E"/>
    <w:rsid w:val="37F93FA4"/>
    <w:rsid w:val="385E6C23"/>
    <w:rsid w:val="387E75D5"/>
    <w:rsid w:val="388E4C67"/>
    <w:rsid w:val="38CB6CC8"/>
    <w:rsid w:val="38F526B3"/>
    <w:rsid w:val="39017C34"/>
    <w:rsid w:val="392769A7"/>
    <w:rsid w:val="393436EF"/>
    <w:rsid w:val="39AF0661"/>
    <w:rsid w:val="39C66680"/>
    <w:rsid w:val="39D9187D"/>
    <w:rsid w:val="39DF7C3E"/>
    <w:rsid w:val="3A2A6D45"/>
    <w:rsid w:val="3A324177"/>
    <w:rsid w:val="3A5A5D5F"/>
    <w:rsid w:val="3A5E2A56"/>
    <w:rsid w:val="3A91000C"/>
    <w:rsid w:val="3ABB2E25"/>
    <w:rsid w:val="3AC81644"/>
    <w:rsid w:val="3AF52426"/>
    <w:rsid w:val="3B9F491F"/>
    <w:rsid w:val="3C1A1DE7"/>
    <w:rsid w:val="3C231DE8"/>
    <w:rsid w:val="3C551D41"/>
    <w:rsid w:val="3C6F0E26"/>
    <w:rsid w:val="3CD81966"/>
    <w:rsid w:val="3D885C8A"/>
    <w:rsid w:val="3E04392D"/>
    <w:rsid w:val="3E104C07"/>
    <w:rsid w:val="3EC45B0A"/>
    <w:rsid w:val="3ED70625"/>
    <w:rsid w:val="3F051492"/>
    <w:rsid w:val="3FAA5449"/>
    <w:rsid w:val="3FD36890"/>
    <w:rsid w:val="3FF47178"/>
    <w:rsid w:val="403931EF"/>
    <w:rsid w:val="403A1976"/>
    <w:rsid w:val="40802DC6"/>
    <w:rsid w:val="40C45A14"/>
    <w:rsid w:val="40F1397F"/>
    <w:rsid w:val="40F15864"/>
    <w:rsid w:val="40FC0FE2"/>
    <w:rsid w:val="4152454E"/>
    <w:rsid w:val="416E359B"/>
    <w:rsid w:val="4190082D"/>
    <w:rsid w:val="41962F80"/>
    <w:rsid w:val="41C0288A"/>
    <w:rsid w:val="41EE65DB"/>
    <w:rsid w:val="41F02650"/>
    <w:rsid w:val="42091CB6"/>
    <w:rsid w:val="422244E2"/>
    <w:rsid w:val="42342D2C"/>
    <w:rsid w:val="423E77F9"/>
    <w:rsid w:val="42585490"/>
    <w:rsid w:val="428A2538"/>
    <w:rsid w:val="42A36677"/>
    <w:rsid w:val="42B7473C"/>
    <w:rsid w:val="42C5322D"/>
    <w:rsid w:val="42C81069"/>
    <w:rsid w:val="42D22047"/>
    <w:rsid w:val="436B6101"/>
    <w:rsid w:val="43952EB3"/>
    <w:rsid w:val="43B32EFA"/>
    <w:rsid w:val="43F80B2C"/>
    <w:rsid w:val="44303CA4"/>
    <w:rsid w:val="44443CB1"/>
    <w:rsid w:val="444F4104"/>
    <w:rsid w:val="445A7CDF"/>
    <w:rsid w:val="44610CFE"/>
    <w:rsid w:val="446D08ED"/>
    <w:rsid w:val="447C5001"/>
    <w:rsid w:val="44CA7E7C"/>
    <w:rsid w:val="44E21C12"/>
    <w:rsid w:val="44F470F0"/>
    <w:rsid w:val="45371550"/>
    <w:rsid w:val="45B07C00"/>
    <w:rsid w:val="45D42553"/>
    <w:rsid w:val="45EB25F5"/>
    <w:rsid w:val="46C375DC"/>
    <w:rsid w:val="46FC465F"/>
    <w:rsid w:val="47374517"/>
    <w:rsid w:val="47793970"/>
    <w:rsid w:val="47BB2601"/>
    <w:rsid w:val="47D22124"/>
    <w:rsid w:val="4800216B"/>
    <w:rsid w:val="48461082"/>
    <w:rsid w:val="485A11F1"/>
    <w:rsid w:val="487155EF"/>
    <w:rsid w:val="4882270E"/>
    <w:rsid w:val="48C43E0B"/>
    <w:rsid w:val="48EB176B"/>
    <w:rsid w:val="4907742B"/>
    <w:rsid w:val="49276ECD"/>
    <w:rsid w:val="49615BA4"/>
    <w:rsid w:val="49617C18"/>
    <w:rsid w:val="49F11E32"/>
    <w:rsid w:val="4A021BB0"/>
    <w:rsid w:val="4A0757BA"/>
    <w:rsid w:val="4A0F11BD"/>
    <w:rsid w:val="4A305FBC"/>
    <w:rsid w:val="4A7F7862"/>
    <w:rsid w:val="4AC12232"/>
    <w:rsid w:val="4ACF76C4"/>
    <w:rsid w:val="4ADE5809"/>
    <w:rsid w:val="4B18009E"/>
    <w:rsid w:val="4B276535"/>
    <w:rsid w:val="4B4C4394"/>
    <w:rsid w:val="4B6A22FF"/>
    <w:rsid w:val="4B6F71E1"/>
    <w:rsid w:val="4B996122"/>
    <w:rsid w:val="4B9F642A"/>
    <w:rsid w:val="4BA75460"/>
    <w:rsid w:val="4BE27565"/>
    <w:rsid w:val="4C440806"/>
    <w:rsid w:val="4C4E2C9C"/>
    <w:rsid w:val="4C502E5A"/>
    <w:rsid w:val="4C5A3C40"/>
    <w:rsid w:val="4CC03864"/>
    <w:rsid w:val="4CF259CA"/>
    <w:rsid w:val="4CF467B1"/>
    <w:rsid w:val="4D244611"/>
    <w:rsid w:val="4E00055C"/>
    <w:rsid w:val="4EE637B4"/>
    <w:rsid w:val="4F4C553B"/>
    <w:rsid w:val="4F4D22DD"/>
    <w:rsid w:val="4F77393C"/>
    <w:rsid w:val="4FAF7A46"/>
    <w:rsid w:val="4FC61261"/>
    <w:rsid w:val="4FFF1BF2"/>
    <w:rsid w:val="50032D36"/>
    <w:rsid w:val="50081F01"/>
    <w:rsid w:val="501E4CF0"/>
    <w:rsid w:val="503700CD"/>
    <w:rsid w:val="506E6E97"/>
    <w:rsid w:val="507A5451"/>
    <w:rsid w:val="509128A4"/>
    <w:rsid w:val="50953DE0"/>
    <w:rsid w:val="50A53CAA"/>
    <w:rsid w:val="50B03522"/>
    <w:rsid w:val="50B977EC"/>
    <w:rsid w:val="50D21FFC"/>
    <w:rsid w:val="50DB628D"/>
    <w:rsid w:val="511B3CE4"/>
    <w:rsid w:val="51225617"/>
    <w:rsid w:val="51635A2A"/>
    <w:rsid w:val="51650C0B"/>
    <w:rsid w:val="51773D74"/>
    <w:rsid w:val="51D85DCE"/>
    <w:rsid w:val="52162239"/>
    <w:rsid w:val="521E2D22"/>
    <w:rsid w:val="5252142F"/>
    <w:rsid w:val="52AC0A6D"/>
    <w:rsid w:val="52B7114B"/>
    <w:rsid w:val="52D43298"/>
    <w:rsid w:val="53084512"/>
    <w:rsid w:val="53127F7D"/>
    <w:rsid w:val="531A16B2"/>
    <w:rsid w:val="533267F6"/>
    <w:rsid w:val="534B6E36"/>
    <w:rsid w:val="5352208F"/>
    <w:rsid w:val="535619FF"/>
    <w:rsid w:val="5385447D"/>
    <w:rsid w:val="53916572"/>
    <w:rsid w:val="53944EA6"/>
    <w:rsid w:val="53D10457"/>
    <w:rsid w:val="53D905F9"/>
    <w:rsid w:val="53EE3C3D"/>
    <w:rsid w:val="53F31271"/>
    <w:rsid w:val="540730C3"/>
    <w:rsid w:val="544A1D84"/>
    <w:rsid w:val="548F6E03"/>
    <w:rsid w:val="54A85F93"/>
    <w:rsid w:val="556A6CF6"/>
    <w:rsid w:val="56487697"/>
    <w:rsid w:val="56E6328B"/>
    <w:rsid w:val="56F82462"/>
    <w:rsid w:val="57082C3F"/>
    <w:rsid w:val="57287C7B"/>
    <w:rsid w:val="57C51028"/>
    <w:rsid w:val="57EA55B7"/>
    <w:rsid w:val="58080151"/>
    <w:rsid w:val="58764A55"/>
    <w:rsid w:val="58963A9E"/>
    <w:rsid w:val="58CB1C39"/>
    <w:rsid w:val="58DE4199"/>
    <w:rsid w:val="58F92BAA"/>
    <w:rsid w:val="5911129B"/>
    <w:rsid w:val="599A2A5D"/>
    <w:rsid w:val="59A45A42"/>
    <w:rsid w:val="59A67A43"/>
    <w:rsid w:val="59FD619F"/>
    <w:rsid w:val="5A1C36DD"/>
    <w:rsid w:val="5A7D1DDF"/>
    <w:rsid w:val="5A9C097D"/>
    <w:rsid w:val="5AA5717C"/>
    <w:rsid w:val="5B3A602E"/>
    <w:rsid w:val="5B542472"/>
    <w:rsid w:val="5B571EB5"/>
    <w:rsid w:val="5BEF07A3"/>
    <w:rsid w:val="5BF072B3"/>
    <w:rsid w:val="5C052DFD"/>
    <w:rsid w:val="5C610787"/>
    <w:rsid w:val="5C6428F5"/>
    <w:rsid w:val="5C7123F7"/>
    <w:rsid w:val="5C7A1DC6"/>
    <w:rsid w:val="5CB215D2"/>
    <w:rsid w:val="5CE92FBD"/>
    <w:rsid w:val="5D1A0E86"/>
    <w:rsid w:val="5D583F98"/>
    <w:rsid w:val="5DAC431E"/>
    <w:rsid w:val="5DB76874"/>
    <w:rsid w:val="5E271D56"/>
    <w:rsid w:val="5E423817"/>
    <w:rsid w:val="5F293C7B"/>
    <w:rsid w:val="5F4009AD"/>
    <w:rsid w:val="5F6F6A28"/>
    <w:rsid w:val="5F8403D9"/>
    <w:rsid w:val="5FA62215"/>
    <w:rsid w:val="5FC07F87"/>
    <w:rsid w:val="5FF75259"/>
    <w:rsid w:val="60220A78"/>
    <w:rsid w:val="603827C5"/>
    <w:rsid w:val="60500E0A"/>
    <w:rsid w:val="60565D8E"/>
    <w:rsid w:val="609013A5"/>
    <w:rsid w:val="609607B5"/>
    <w:rsid w:val="609851AD"/>
    <w:rsid w:val="60AA6641"/>
    <w:rsid w:val="60F4442B"/>
    <w:rsid w:val="61275176"/>
    <w:rsid w:val="619874B2"/>
    <w:rsid w:val="620E274D"/>
    <w:rsid w:val="629D3AC7"/>
    <w:rsid w:val="62A67E45"/>
    <w:rsid w:val="62B116D6"/>
    <w:rsid w:val="62F67F8B"/>
    <w:rsid w:val="63264997"/>
    <w:rsid w:val="632739BE"/>
    <w:rsid w:val="634E2321"/>
    <w:rsid w:val="636E50EB"/>
    <w:rsid w:val="63CE4FB5"/>
    <w:rsid w:val="63E9104E"/>
    <w:rsid w:val="64083BDD"/>
    <w:rsid w:val="64690FA8"/>
    <w:rsid w:val="648A7732"/>
    <w:rsid w:val="64E5191A"/>
    <w:rsid w:val="64F708B1"/>
    <w:rsid w:val="65384396"/>
    <w:rsid w:val="654147B0"/>
    <w:rsid w:val="65716841"/>
    <w:rsid w:val="659579C8"/>
    <w:rsid w:val="659A4B21"/>
    <w:rsid w:val="659A5B91"/>
    <w:rsid w:val="65CC379F"/>
    <w:rsid w:val="65EB710E"/>
    <w:rsid w:val="65F137CB"/>
    <w:rsid w:val="65FD7710"/>
    <w:rsid w:val="6643078F"/>
    <w:rsid w:val="664567A2"/>
    <w:rsid w:val="667E1F15"/>
    <w:rsid w:val="66A81D0D"/>
    <w:rsid w:val="66C54B5C"/>
    <w:rsid w:val="66D178EA"/>
    <w:rsid w:val="66D43D97"/>
    <w:rsid w:val="66DC50BD"/>
    <w:rsid w:val="67122A47"/>
    <w:rsid w:val="67370341"/>
    <w:rsid w:val="67464807"/>
    <w:rsid w:val="67693C0D"/>
    <w:rsid w:val="676A293A"/>
    <w:rsid w:val="67ED06C8"/>
    <w:rsid w:val="68342B11"/>
    <w:rsid w:val="684439CD"/>
    <w:rsid w:val="68682F24"/>
    <w:rsid w:val="68A54119"/>
    <w:rsid w:val="68AA70F8"/>
    <w:rsid w:val="68E677FC"/>
    <w:rsid w:val="68FA585A"/>
    <w:rsid w:val="690335DB"/>
    <w:rsid w:val="6990277F"/>
    <w:rsid w:val="69B91FF1"/>
    <w:rsid w:val="6A0359B0"/>
    <w:rsid w:val="6A650757"/>
    <w:rsid w:val="6A786A4A"/>
    <w:rsid w:val="6A7C6902"/>
    <w:rsid w:val="6A9F7C60"/>
    <w:rsid w:val="6AEB2793"/>
    <w:rsid w:val="6AF94AB6"/>
    <w:rsid w:val="6B2F597F"/>
    <w:rsid w:val="6B313C19"/>
    <w:rsid w:val="6B533769"/>
    <w:rsid w:val="6B8D6867"/>
    <w:rsid w:val="6BE22A0A"/>
    <w:rsid w:val="6BE84CB3"/>
    <w:rsid w:val="6C442B32"/>
    <w:rsid w:val="6C473B38"/>
    <w:rsid w:val="6C606A3B"/>
    <w:rsid w:val="6C6B50F6"/>
    <w:rsid w:val="6C6F4706"/>
    <w:rsid w:val="6C970750"/>
    <w:rsid w:val="6C9818EE"/>
    <w:rsid w:val="6CED73C0"/>
    <w:rsid w:val="6CFE115A"/>
    <w:rsid w:val="6D27790C"/>
    <w:rsid w:val="6D2E262D"/>
    <w:rsid w:val="6D5378BC"/>
    <w:rsid w:val="6DDE5F2C"/>
    <w:rsid w:val="6DE870C0"/>
    <w:rsid w:val="6DF5403D"/>
    <w:rsid w:val="6DFC5051"/>
    <w:rsid w:val="6E0F3418"/>
    <w:rsid w:val="6E2062E0"/>
    <w:rsid w:val="6E3D0666"/>
    <w:rsid w:val="6E3F3E35"/>
    <w:rsid w:val="6E520AAF"/>
    <w:rsid w:val="6E6445C2"/>
    <w:rsid w:val="6E8B4285"/>
    <w:rsid w:val="6E8D7990"/>
    <w:rsid w:val="6EA63B18"/>
    <w:rsid w:val="6EAA6DC4"/>
    <w:rsid w:val="6EBF6DA5"/>
    <w:rsid w:val="6EFF5F1F"/>
    <w:rsid w:val="6F2A5931"/>
    <w:rsid w:val="6F7A04E9"/>
    <w:rsid w:val="6F7D2FA3"/>
    <w:rsid w:val="6F872F16"/>
    <w:rsid w:val="6FF869A5"/>
    <w:rsid w:val="702374B7"/>
    <w:rsid w:val="708604B8"/>
    <w:rsid w:val="70A51318"/>
    <w:rsid w:val="70B95D90"/>
    <w:rsid w:val="70BC5C25"/>
    <w:rsid w:val="70BD5539"/>
    <w:rsid w:val="70F95BAB"/>
    <w:rsid w:val="710406E0"/>
    <w:rsid w:val="71112545"/>
    <w:rsid w:val="713901B0"/>
    <w:rsid w:val="71932239"/>
    <w:rsid w:val="71967DD7"/>
    <w:rsid w:val="71977423"/>
    <w:rsid w:val="71E47E6D"/>
    <w:rsid w:val="71FC787F"/>
    <w:rsid w:val="720F4392"/>
    <w:rsid w:val="721631F4"/>
    <w:rsid w:val="726F1325"/>
    <w:rsid w:val="72930B1A"/>
    <w:rsid w:val="72A212DE"/>
    <w:rsid w:val="72B03337"/>
    <w:rsid w:val="72D2760A"/>
    <w:rsid w:val="731E7DEC"/>
    <w:rsid w:val="733C799F"/>
    <w:rsid w:val="734218B7"/>
    <w:rsid w:val="735C23E8"/>
    <w:rsid w:val="736A01BC"/>
    <w:rsid w:val="736E67F9"/>
    <w:rsid w:val="739B7634"/>
    <w:rsid w:val="73A7168B"/>
    <w:rsid w:val="73D20318"/>
    <w:rsid w:val="73EF1CDA"/>
    <w:rsid w:val="74094AB8"/>
    <w:rsid w:val="743072EC"/>
    <w:rsid w:val="743159D8"/>
    <w:rsid w:val="748922C2"/>
    <w:rsid w:val="749D17FE"/>
    <w:rsid w:val="74D47248"/>
    <w:rsid w:val="74F871D7"/>
    <w:rsid w:val="752372C9"/>
    <w:rsid w:val="752B1E77"/>
    <w:rsid w:val="755E43CB"/>
    <w:rsid w:val="75A36903"/>
    <w:rsid w:val="75CE1F56"/>
    <w:rsid w:val="75DD576F"/>
    <w:rsid w:val="75EB642B"/>
    <w:rsid w:val="76601077"/>
    <w:rsid w:val="76691397"/>
    <w:rsid w:val="768F45C9"/>
    <w:rsid w:val="76B67A2B"/>
    <w:rsid w:val="76F66B6F"/>
    <w:rsid w:val="77110F31"/>
    <w:rsid w:val="77481876"/>
    <w:rsid w:val="77EC2EA4"/>
    <w:rsid w:val="77F3EA6A"/>
    <w:rsid w:val="77F56709"/>
    <w:rsid w:val="785766FB"/>
    <w:rsid w:val="78DD2FA9"/>
    <w:rsid w:val="7921730A"/>
    <w:rsid w:val="7950102F"/>
    <w:rsid w:val="79A82EAC"/>
    <w:rsid w:val="79B4615C"/>
    <w:rsid w:val="79DE0C9F"/>
    <w:rsid w:val="79DE5126"/>
    <w:rsid w:val="79EC6018"/>
    <w:rsid w:val="7A61766A"/>
    <w:rsid w:val="7ABF0A2E"/>
    <w:rsid w:val="7AED3C32"/>
    <w:rsid w:val="7B07703D"/>
    <w:rsid w:val="7B0C5508"/>
    <w:rsid w:val="7B115C33"/>
    <w:rsid w:val="7B256293"/>
    <w:rsid w:val="7B316A17"/>
    <w:rsid w:val="7BA26454"/>
    <w:rsid w:val="7BBB1773"/>
    <w:rsid w:val="7BD81D81"/>
    <w:rsid w:val="7BE67AA9"/>
    <w:rsid w:val="7C091FB4"/>
    <w:rsid w:val="7C12148F"/>
    <w:rsid w:val="7C163259"/>
    <w:rsid w:val="7CBB248E"/>
    <w:rsid w:val="7CD80B45"/>
    <w:rsid w:val="7D1B284D"/>
    <w:rsid w:val="7D3039D0"/>
    <w:rsid w:val="7D307F4B"/>
    <w:rsid w:val="7D6D1E98"/>
    <w:rsid w:val="7D7005E5"/>
    <w:rsid w:val="7D90395F"/>
    <w:rsid w:val="7DB50B1A"/>
    <w:rsid w:val="7DCD1724"/>
    <w:rsid w:val="7DF30332"/>
    <w:rsid w:val="7E050983"/>
    <w:rsid w:val="7E0E5919"/>
    <w:rsid w:val="7E536196"/>
    <w:rsid w:val="7E5A59E2"/>
    <w:rsid w:val="7E796CCF"/>
    <w:rsid w:val="7E7F54D5"/>
    <w:rsid w:val="7EBF07A4"/>
    <w:rsid w:val="7F0E2076"/>
    <w:rsid w:val="7F4C9458"/>
    <w:rsid w:val="7F4D2757"/>
    <w:rsid w:val="7F690B7C"/>
    <w:rsid w:val="7F6A7154"/>
    <w:rsid w:val="7F6D0676"/>
    <w:rsid w:val="7FB0543D"/>
    <w:rsid w:val="7FCE0B9D"/>
    <w:rsid w:val="BF8EEFC3"/>
    <w:rsid w:val="D6E7BE68"/>
    <w:rsid w:val="DDF98F39"/>
    <w:rsid w:val="F557CF35"/>
    <w:rsid w:val="F6BFC7F7"/>
    <w:rsid w:val="FDFF2E2E"/>
    <w:rsid w:val="FFEB3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880" w:firstLineChars="200"/>
      <w:jc w:val="both"/>
    </w:pPr>
    <w:rPr>
      <w:rFonts w:ascii="Times New Roman" w:hAnsi="Times New Roman" w:eastAsia="仿宋" w:cs="宋体"/>
      <w:kern w:val="2"/>
      <w:sz w:val="32"/>
      <w:szCs w:val="24"/>
      <w:lang w:val="en-US" w:eastAsia="zh-CN" w:bidi="ar-SA"/>
    </w:rPr>
  </w:style>
  <w:style w:type="paragraph" w:styleId="3">
    <w:name w:val="heading 1"/>
    <w:basedOn w:val="1"/>
    <w:next w:val="1"/>
    <w:autoRedefine/>
    <w:qFormat/>
    <w:uiPriority w:val="0"/>
    <w:pPr>
      <w:keepNext/>
      <w:keepLines/>
      <w:ind w:firstLine="0" w:firstLineChars="0"/>
      <w:jc w:val="center"/>
      <w:outlineLvl w:val="0"/>
    </w:pPr>
    <w:rPr>
      <w:rFonts w:eastAsia="黑体"/>
      <w:kern w:val="44"/>
    </w:rPr>
  </w:style>
  <w:style w:type="paragraph" w:styleId="4">
    <w:name w:val="heading 2"/>
    <w:basedOn w:val="1"/>
    <w:next w:val="1"/>
    <w:autoRedefine/>
    <w:qFormat/>
    <w:uiPriority w:val="0"/>
    <w:pPr>
      <w:keepNext/>
      <w:keepLines/>
      <w:ind w:firstLine="0" w:firstLineChars="0"/>
      <w:jc w:val="center"/>
      <w:outlineLvl w:val="1"/>
    </w:pPr>
    <w:rPr>
      <w:rFonts w:eastAsia="楷体"/>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style>
  <w:style w:type="paragraph" w:styleId="5">
    <w:name w:val="annotation text"/>
    <w:basedOn w:val="1"/>
    <w:link w:val="24"/>
    <w:autoRedefine/>
    <w:qFormat/>
    <w:uiPriority w:val="0"/>
    <w:pPr>
      <w:jc w:val="left"/>
    </w:pPr>
  </w:style>
  <w:style w:type="paragraph" w:styleId="6">
    <w:name w:val="Body Text"/>
    <w:basedOn w:val="1"/>
    <w:next w:val="1"/>
    <w:autoRedefine/>
    <w:qFormat/>
    <w:uiPriority w:val="1"/>
    <w:pPr>
      <w:ind w:left="115" w:firstLine="600"/>
    </w:pPr>
    <w:rPr>
      <w:rFonts w:ascii="方正仿宋_GBK" w:hAnsi="方正仿宋_GBK" w:eastAsia="方正仿宋_GBK" w:cs="方正仿宋_GBK"/>
      <w:sz w:val="30"/>
      <w:szCs w:val="30"/>
    </w:rPr>
  </w:style>
  <w:style w:type="paragraph" w:styleId="7">
    <w:name w:val="Balloon Text"/>
    <w:basedOn w:val="1"/>
    <w:link w:val="23"/>
    <w:autoRedefine/>
    <w:qFormat/>
    <w:uiPriority w:val="0"/>
    <w:pPr>
      <w:spacing w:line="240" w:lineRule="auto"/>
    </w:pPr>
    <w:rPr>
      <w:sz w:val="18"/>
      <w:szCs w:val="18"/>
    </w:rPr>
  </w:style>
  <w:style w:type="paragraph" w:styleId="8">
    <w:name w:val="footer"/>
    <w:basedOn w:val="1"/>
    <w:link w:val="26"/>
    <w:autoRedefine/>
    <w:qFormat/>
    <w:uiPriority w:val="99"/>
    <w:pPr>
      <w:tabs>
        <w:tab w:val="center" w:pos="4153"/>
        <w:tab w:val="right" w:pos="8306"/>
      </w:tabs>
      <w:snapToGrid w:val="0"/>
      <w:jc w:val="left"/>
    </w:pPr>
    <w:rPr>
      <w:sz w:val="18"/>
    </w:rPr>
  </w:style>
  <w:style w:type="paragraph" w:styleId="9">
    <w:name w:val="header"/>
    <w:basedOn w:val="1"/>
    <w:link w:val="2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2"/>
    <w:basedOn w:val="1"/>
    <w:next w:val="1"/>
    <w:autoRedefine/>
    <w:qFormat/>
    <w:uiPriority w:val="0"/>
    <w:pPr>
      <w:widowControl/>
      <w:spacing w:after="100" w:line="259" w:lineRule="auto"/>
      <w:ind w:left="220"/>
      <w:jc w:val="left"/>
    </w:pPr>
    <w:rPr>
      <w:kern w:val="0"/>
      <w:sz w:val="22"/>
    </w:rPr>
  </w:style>
  <w:style w:type="paragraph" w:styleId="11">
    <w:name w:val="Normal (Web)"/>
    <w:basedOn w:val="1"/>
    <w:autoRedefine/>
    <w:qFormat/>
    <w:uiPriority w:val="99"/>
    <w:pPr>
      <w:widowControl/>
      <w:spacing w:before="100" w:beforeAutospacing="1" w:after="100" w:afterAutospacing="1"/>
      <w:jc w:val="left"/>
    </w:pPr>
    <w:rPr>
      <w:rFonts w:ascii="宋体" w:hAnsi="宋体" w:eastAsia="宋体"/>
      <w:kern w:val="0"/>
      <w:sz w:val="24"/>
    </w:rPr>
  </w:style>
  <w:style w:type="paragraph" w:styleId="12">
    <w:name w:val="Title"/>
    <w:basedOn w:val="1"/>
    <w:next w:val="1"/>
    <w:autoRedefine/>
    <w:qFormat/>
    <w:uiPriority w:val="0"/>
    <w:pPr>
      <w:spacing w:before="240" w:after="60"/>
      <w:jc w:val="center"/>
      <w:outlineLvl w:val="0"/>
    </w:pPr>
    <w:rPr>
      <w:rFonts w:ascii="Calibri Light" w:hAnsi="Calibri Light"/>
      <w:b/>
      <w:bCs/>
      <w:szCs w:val="32"/>
    </w:rPr>
  </w:style>
  <w:style w:type="paragraph" w:styleId="13">
    <w:name w:val="annotation subject"/>
    <w:basedOn w:val="5"/>
    <w:next w:val="5"/>
    <w:link w:val="25"/>
    <w:autoRedefine/>
    <w:qFormat/>
    <w:uiPriority w:val="0"/>
    <w:rPr>
      <w:b/>
      <w:bCs/>
    </w:rPr>
  </w:style>
  <w:style w:type="character" w:styleId="16">
    <w:name w:val="Strong"/>
    <w:basedOn w:val="15"/>
    <w:autoRedefine/>
    <w:qFormat/>
    <w:uiPriority w:val="0"/>
    <w:rPr>
      <w:b/>
    </w:rPr>
  </w:style>
  <w:style w:type="character" w:styleId="17">
    <w:name w:val="Emphasis"/>
    <w:basedOn w:val="15"/>
    <w:qFormat/>
    <w:uiPriority w:val="0"/>
    <w:rPr>
      <w:i/>
    </w:rPr>
  </w:style>
  <w:style w:type="character" w:styleId="18">
    <w:name w:val="annotation reference"/>
    <w:autoRedefine/>
    <w:qFormat/>
    <w:uiPriority w:val="0"/>
    <w:rPr>
      <w:sz w:val="21"/>
      <w:szCs w:val="21"/>
    </w:rPr>
  </w:style>
  <w:style w:type="paragraph" w:customStyle="1" w:styleId="19">
    <w:name w:val="列出段落1"/>
    <w:basedOn w:val="1"/>
    <w:autoRedefine/>
    <w:qFormat/>
    <w:uiPriority w:val="34"/>
    <w:pPr>
      <w:ind w:firstLine="420"/>
    </w:pPr>
  </w:style>
  <w:style w:type="paragraph" w:customStyle="1" w:styleId="20">
    <w:name w:val="列表段落1"/>
    <w:basedOn w:val="1"/>
    <w:autoRedefine/>
    <w:qFormat/>
    <w:uiPriority w:val="34"/>
    <w:pPr>
      <w:ind w:firstLine="420"/>
    </w:pPr>
  </w:style>
  <w:style w:type="paragraph" w:customStyle="1" w:styleId="21">
    <w:name w:val="列表段落2"/>
    <w:basedOn w:val="1"/>
    <w:autoRedefine/>
    <w:qFormat/>
    <w:uiPriority w:val="99"/>
    <w:pPr>
      <w:ind w:firstLine="420"/>
    </w:pPr>
  </w:style>
  <w:style w:type="paragraph" w:customStyle="1" w:styleId="22">
    <w:name w:val="修订1"/>
    <w:autoRedefine/>
    <w:hidden/>
    <w:semiHidden/>
    <w:qFormat/>
    <w:uiPriority w:val="99"/>
    <w:rPr>
      <w:rFonts w:ascii="Times New Roman" w:hAnsi="Times New Roman" w:eastAsia="仿宋" w:cs="宋体"/>
      <w:kern w:val="2"/>
      <w:sz w:val="32"/>
      <w:szCs w:val="24"/>
      <w:lang w:val="en-US" w:eastAsia="zh-CN" w:bidi="ar-SA"/>
    </w:rPr>
  </w:style>
  <w:style w:type="character" w:customStyle="1" w:styleId="23">
    <w:name w:val="批注框文本 字符"/>
    <w:link w:val="7"/>
    <w:autoRedefine/>
    <w:qFormat/>
    <w:uiPriority w:val="0"/>
    <w:rPr>
      <w:rFonts w:eastAsia="仿宋" w:cs="宋体"/>
      <w:kern w:val="2"/>
      <w:sz w:val="18"/>
      <w:szCs w:val="18"/>
    </w:rPr>
  </w:style>
  <w:style w:type="character" w:customStyle="1" w:styleId="24">
    <w:name w:val="批注文字 字符"/>
    <w:link w:val="5"/>
    <w:autoRedefine/>
    <w:qFormat/>
    <w:uiPriority w:val="0"/>
    <w:rPr>
      <w:rFonts w:eastAsia="仿宋" w:cs="宋体"/>
      <w:kern w:val="2"/>
      <w:sz w:val="32"/>
      <w:szCs w:val="24"/>
    </w:rPr>
  </w:style>
  <w:style w:type="character" w:customStyle="1" w:styleId="25">
    <w:name w:val="批注主题 字符"/>
    <w:link w:val="13"/>
    <w:autoRedefine/>
    <w:qFormat/>
    <w:uiPriority w:val="0"/>
    <w:rPr>
      <w:rFonts w:eastAsia="仿宋" w:cs="宋体"/>
      <w:b/>
      <w:bCs/>
      <w:kern w:val="2"/>
      <w:sz w:val="32"/>
      <w:szCs w:val="24"/>
    </w:rPr>
  </w:style>
  <w:style w:type="character" w:customStyle="1" w:styleId="26">
    <w:name w:val="页脚 字符"/>
    <w:link w:val="8"/>
    <w:autoRedefine/>
    <w:qFormat/>
    <w:uiPriority w:val="99"/>
    <w:rPr>
      <w:rFonts w:eastAsia="仿宋" w:cs="宋体"/>
      <w:kern w:val="2"/>
      <w:sz w:val="18"/>
      <w:szCs w:val="24"/>
    </w:rPr>
  </w:style>
  <w:style w:type="character" w:customStyle="1" w:styleId="27">
    <w:name w:val="页眉 字符"/>
    <w:link w:val="9"/>
    <w:autoRedefine/>
    <w:qFormat/>
    <w:uiPriority w:val="99"/>
    <w:rPr>
      <w:rFonts w:eastAsia="仿宋" w:cs="宋体"/>
      <w:kern w:val="2"/>
      <w:sz w:val="18"/>
      <w:szCs w:val="24"/>
    </w:rPr>
  </w:style>
  <w:style w:type="paragraph" w:styleId="28">
    <w:name w:val="List Paragraph"/>
    <w:basedOn w:val="1"/>
    <w:autoRedefine/>
    <w:qFormat/>
    <w:uiPriority w:val="99"/>
    <w:pPr>
      <w:ind w:firstLine="420" w:firstLineChars="200"/>
    </w:pPr>
  </w:style>
  <w:style w:type="paragraph" w:customStyle="1" w:styleId="29">
    <w:name w:val="样式16"/>
    <w:basedOn w:val="30"/>
    <w:autoRedefine/>
    <w:qFormat/>
    <w:uiPriority w:val="0"/>
    <w:rPr>
      <w:color w:val="000000" w:themeColor="text1"/>
      <w14:textFill>
        <w14:solidFill>
          <w14:schemeClr w14:val="tx1"/>
        </w14:solidFill>
      </w14:textFill>
    </w:rPr>
  </w:style>
  <w:style w:type="paragraph" w:customStyle="1" w:styleId="30">
    <w:name w:val="正文1"/>
    <w:autoRedefine/>
    <w:qFormat/>
    <w:uiPriority w:val="0"/>
    <w:pPr>
      <w:ind w:firstLine="640"/>
    </w:pPr>
    <w:rPr>
      <w:rFonts w:ascii="仿宋_GB2312" w:eastAsia="仿宋_GB2312" w:hAnsiTheme="minorHAnsi" w:cstheme="minorBidi"/>
      <w:sz w:val="32"/>
      <w:szCs w:val="32"/>
      <w:lang w:val="en-US" w:eastAsia="zh-CN" w:bidi="ar-SA"/>
    </w:rPr>
  </w:style>
  <w:style w:type="paragraph" w:customStyle="1" w:styleId="31">
    <w:name w:val="细则1级标题"/>
    <w:basedOn w:val="32"/>
    <w:autoRedefine/>
    <w:qFormat/>
    <w:uiPriority w:val="0"/>
    <w:pPr>
      <w:pageBreakBefore w:val="0"/>
      <w:tabs>
        <w:tab w:val="left" w:pos="540"/>
      </w:tabs>
      <w:spacing w:beforeLines="50" w:line="560" w:lineRule="exact"/>
    </w:pPr>
    <w:rPr>
      <w:rFonts w:eastAsia="华文仿宋"/>
    </w:rPr>
  </w:style>
  <w:style w:type="paragraph" w:customStyle="1" w:styleId="32">
    <w:name w:val="样式9"/>
    <w:basedOn w:val="33"/>
    <w:autoRedefine/>
    <w:qFormat/>
    <w:uiPriority w:val="0"/>
    <w:pPr>
      <w:numPr>
        <w:numId w:val="1"/>
      </w:numPr>
      <w:tabs>
        <w:tab w:val="left" w:pos="540"/>
      </w:tabs>
      <w:spacing w:before="0" w:after="0"/>
    </w:pPr>
    <w:rPr>
      <w:rFonts w:ascii="仿宋" w:hAnsi="仿宋" w:eastAsia="仿宋"/>
      <w:sz w:val="32"/>
      <w:szCs w:val="32"/>
    </w:rPr>
  </w:style>
  <w:style w:type="paragraph" w:customStyle="1" w:styleId="33">
    <w:name w:val="样式58"/>
    <w:basedOn w:val="1"/>
    <w:autoRedefine/>
    <w:qFormat/>
    <w:uiPriority w:val="0"/>
    <w:pPr>
      <w:keepNext/>
      <w:keepLines/>
      <w:pageBreakBefore/>
      <w:numPr>
        <w:ilvl w:val="0"/>
        <w:numId w:val="2"/>
      </w:numPr>
      <w:tabs>
        <w:tab w:val="left" w:pos="540"/>
      </w:tabs>
      <w:spacing w:before="240" w:after="240" w:line="360" w:lineRule="auto"/>
      <w:ind w:left="539" w:hanging="539"/>
      <w:outlineLvl w:val="0"/>
    </w:pPr>
    <w:rPr>
      <w:rFonts w:ascii="黑体" w:hAnsi="黑体" w:eastAsia="黑体" w:cs="Times New Roman"/>
      <w:b/>
      <w:bCs/>
      <w:kern w:val="44"/>
      <w:sz w:val="36"/>
      <w:szCs w:val="36"/>
    </w:rPr>
  </w:style>
  <w:style w:type="paragraph" w:customStyle="1" w:styleId="34">
    <w:name w:val="章"/>
    <w:basedOn w:val="1"/>
    <w:next w:val="35"/>
    <w:autoRedefine/>
    <w:qFormat/>
    <w:uiPriority w:val="0"/>
    <w:pPr>
      <w:spacing w:before="156" w:beforeLines="50" w:after="156" w:afterLines="50" w:line="360" w:lineRule="auto"/>
      <w:jc w:val="center"/>
      <w:outlineLvl w:val="0"/>
    </w:pPr>
    <w:rPr>
      <w:rFonts w:eastAsia="黑体"/>
    </w:rPr>
  </w:style>
  <w:style w:type="paragraph" w:customStyle="1" w:styleId="35">
    <w:name w:val="条"/>
    <w:basedOn w:val="1"/>
    <w:autoRedefine/>
    <w:qFormat/>
    <w:uiPriority w:val="0"/>
    <w:pPr>
      <w:numPr>
        <w:ilvl w:val="0"/>
        <w:numId w:val="3"/>
      </w:numPr>
      <w:jc w:val="left"/>
    </w:pPr>
    <w:rPr>
      <w:kern w:val="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3.wmf"/><Relationship Id="rId4" Type="http://schemas.microsoft.com/office/2011/relationships/commentsExtended" Target="commentsExtended.xml"/><Relationship Id="rId39" Type="http://schemas.openxmlformats.org/officeDocument/2006/relationships/oleObject" Target="embeddings/oleObject13.bin"/><Relationship Id="rId38" Type="http://schemas.openxmlformats.org/officeDocument/2006/relationships/image" Target="media/image12.wmf"/><Relationship Id="rId37" Type="http://schemas.openxmlformats.org/officeDocument/2006/relationships/oleObject" Target="embeddings/oleObject12.bin"/><Relationship Id="rId36" Type="http://schemas.openxmlformats.org/officeDocument/2006/relationships/image" Target="media/image11.wmf"/><Relationship Id="rId35" Type="http://schemas.openxmlformats.org/officeDocument/2006/relationships/oleObject" Target="embeddings/oleObject11.bin"/><Relationship Id="rId34" Type="http://schemas.openxmlformats.org/officeDocument/2006/relationships/image" Target="media/image10.wmf"/><Relationship Id="rId33" Type="http://schemas.openxmlformats.org/officeDocument/2006/relationships/oleObject" Target="embeddings/oleObject10.bin"/><Relationship Id="rId32" Type="http://schemas.openxmlformats.org/officeDocument/2006/relationships/image" Target="media/image9.wmf"/><Relationship Id="rId31" Type="http://schemas.openxmlformats.org/officeDocument/2006/relationships/oleObject" Target="embeddings/oleObject9.bin"/><Relationship Id="rId30" Type="http://schemas.openxmlformats.org/officeDocument/2006/relationships/image" Target="media/image8.wmf"/><Relationship Id="rId3" Type="http://schemas.openxmlformats.org/officeDocument/2006/relationships/comments" Target="comments.xml"/><Relationship Id="rId29" Type="http://schemas.openxmlformats.org/officeDocument/2006/relationships/oleObject" Target="embeddings/oleObject8.bin"/><Relationship Id="rId28" Type="http://schemas.openxmlformats.org/officeDocument/2006/relationships/image" Target="media/image7.wmf"/><Relationship Id="rId27" Type="http://schemas.openxmlformats.org/officeDocument/2006/relationships/oleObject" Target="embeddings/oleObject7.bin"/><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昆明电力交易中心有限责任公司</Company>
  <Pages>62</Pages>
  <Words>12932</Words>
  <Characters>13052</Characters>
  <Lines>161</Lines>
  <Paragraphs>45</Paragraphs>
  <TotalTime>154</TotalTime>
  <ScaleCrop>false</ScaleCrop>
  <LinksUpToDate>false</LinksUpToDate>
  <CharactersWithSpaces>13075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2020-12-06T23:36:00Z</dcterms:created>
  <dc:creator>邢玉辉</dc:creator>
  <cp:lastModifiedBy>凌</cp:lastModifiedBy>
  <cp:lastPrinted>2024-10-23T09:15:39Z</cp:lastPrinted>
  <dcterms:modified xsi:type="dcterms:W3CDTF">2024-10-23T09:20:37Z</dcterms:modified>
  <dc:title>云南电力中长期交易实施细则</dc:title>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EDCC49E11015410BAAE7B81D801C1FBA_13</vt:lpwstr>
  </property>
</Properties>
</file>